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ED3" w:rsidRDefault="000E6986">
      <w:pPr>
        <w:pStyle w:val="Heading1"/>
      </w:pPr>
      <w:r>
        <w:t>An open-label, non-comparative, non</w:t>
      </w:r>
      <w:r>
        <w:noBreakHyphen/>
        <w:t>interventional, multi-centre, post</w:t>
      </w:r>
      <w:r>
        <w:noBreakHyphen/>
        <w:t xml:space="preserve">authorisation safety study on the administration of </w:t>
      </w:r>
      <w:proofErr w:type="spellStart"/>
      <w:r>
        <w:t>rabeprazole</w:t>
      </w:r>
      <w:proofErr w:type="spellEnd"/>
      <w:r>
        <w:t xml:space="preserve"> to adults with gastro</w:t>
      </w:r>
      <w:r>
        <w:noBreakHyphen/>
        <w:t xml:space="preserve">oesophageal reflux disease </w:t>
      </w:r>
    </w:p>
    <w:p w:rsidR="00D53ED3" w:rsidRDefault="000E6986">
      <w:pPr>
        <w:pStyle w:val="Heading3"/>
      </w:pPr>
      <w:r>
        <w:t>Authors</w:t>
      </w:r>
    </w:p>
    <w:p w:rsidR="00D53ED3" w:rsidRDefault="000E6986">
      <w:r>
        <w:t>I Zouboulis-Vafiadis</w:t>
      </w:r>
      <w:r>
        <w:rPr>
          <w:vertAlign w:val="superscript"/>
        </w:rPr>
        <w:t>1*</w:t>
      </w:r>
      <w:r>
        <w:t>, E Paraskevas</w:t>
      </w:r>
      <w:r>
        <w:rPr>
          <w:vertAlign w:val="superscript"/>
        </w:rPr>
        <w:t>2*</w:t>
      </w:r>
      <w:r>
        <w:t>, D Tzourmakliotis</w:t>
      </w:r>
      <w:r>
        <w:rPr>
          <w:vertAlign w:val="superscript"/>
        </w:rPr>
        <w:t>3*</w:t>
      </w:r>
      <w:r>
        <w:t>, Μ Hatzikyriakou</w:t>
      </w:r>
      <w:r>
        <w:rPr>
          <w:vertAlign w:val="superscript"/>
        </w:rPr>
        <w:t>4</w:t>
      </w:r>
      <w:r>
        <w:t>, Α Mestoussi</w:t>
      </w:r>
      <w:r>
        <w:rPr>
          <w:vertAlign w:val="superscript"/>
        </w:rPr>
        <w:t>4</w:t>
      </w:r>
      <w:r>
        <w:t>, V Vasdekis</w:t>
      </w:r>
      <w:r>
        <w:rPr>
          <w:vertAlign w:val="superscript"/>
        </w:rPr>
        <w:t>5</w:t>
      </w:r>
      <w:r>
        <w:t>, Ν Katsilabros</w:t>
      </w:r>
      <w:r>
        <w:rPr>
          <w:vertAlign w:val="superscript"/>
        </w:rPr>
        <w:t>1</w:t>
      </w:r>
      <w:r>
        <w:t>, ΑΙ Arhimandritis</w:t>
      </w:r>
      <w:r>
        <w:rPr>
          <w:vertAlign w:val="superscript"/>
        </w:rPr>
        <w:t>6+*</w:t>
      </w:r>
      <w:r>
        <w:t xml:space="preserve"> A Papadokostopoulou</w:t>
      </w:r>
      <w:r>
        <w:rPr>
          <w:vertAlign w:val="superscript"/>
        </w:rPr>
        <w:t>4*</w:t>
      </w:r>
    </w:p>
    <w:p w:rsidR="00D53ED3" w:rsidRDefault="000E6986">
      <w:pPr>
        <w:pStyle w:val="Heading3"/>
      </w:pPr>
      <w:r>
        <w:t>Affiliations</w:t>
      </w:r>
    </w:p>
    <w:p w:rsidR="00D53ED3" w:rsidRDefault="000E6986">
      <w:pPr>
        <w:rPr>
          <w:highlight w:val="yellow"/>
        </w:rPr>
      </w:pPr>
      <w:r>
        <w:rPr>
          <w:vertAlign w:val="superscript"/>
        </w:rPr>
        <w:t>1</w:t>
      </w:r>
      <w:r>
        <w:t>First Department of Propaedeutic Medicine, Athens University Medical School “</w:t>
      </w:r>
      <w:proofErr w:type="spellStart"/>
      <w:r>
        <w:t>Laiko</w:t>
      </w:r>
      <w:proofErr w:type="spellEnd"/>
      <w:r>
        <w:t>” General Hospital, Greece</w:t>
      </w:r>
    </w:p>
    <w:p w:rsidR="00D53ED3" w:rsidRDefault="000E6986">
      <w:pPr>
        <w:pStyle w:val="Table"/>
        <w:keepNext w:val="0"/>
        <w:spacing w:before="0" w:after="240"/>
        <w:rPr>
          <w:szCs w:val="24"/>
        </w:rPr>
      </w:pPr>
      <w:r>
        <w:rPr>
          <w:szCs w:val="24"/>
          <w:vertAlign w:val="superscript"/>
        </w:rPr>
        <w:t>2</w:t>
      </w:r>
      <w:r>
        <w:rPr>
          <w:szCs w:val="24"/>
        </w:rPr>
        <w:t xml:space="preserve">Gastroenterology Department, </w:t>
      </w:r>
      <w:proofErr w:type="spellStart"/>
      <w:r>
        <w:rPr>
          <w:szCs w:val="24"/>
        </w:rPr>
        <w:t>Agios</w:t>
      </w:r>
      <w:proofErr w:type="spellEnd"/>
      <w:r>
        <w:rPr>
          <w:szCs w:val="24"/>
        </w:rPr>
        <w:t xml:space="preserve"> </w:t>
      </w:r>
      <w:proofErr w:type="spellStart"/>
      <w:r>
        <w:rPr>
          <w:szCs w:val="24"/>
        </w:rPr>
        <w:t>Savvas</w:t>
      </w:r>
      <w:proofErr w:type="spellEnd"/>
      <w:r>
        <w:rPr>
          <w:szCs w:val="24"/>
        </w:rPr>
        <w:t xml:space="preserve"> Hospital, Athens, Greece</w:t>
      </w:r>
    </w:p>
    <w:p w:rsidR="00D53ED3" w:rsidRDefault="000E6986">
      <w:pPr>
        <w:pStyle w:val="Table"/>
        <w:keepNext w:val="0"/>
        <w:spacing w:before="0" w:after="240"/>
        <w:rPr>
          <w:szCs w:val="24"/>
        </w:rPr>
      </w:pPr>
      <w:r>
        <w:rPr>
          <w:szCs w:val="24"/>
          <w:vertAlign w:val="superscript"/>
        </w:rPr>
        <w:t>3</w:t>
      </w:r>
      <w:r>
        <w:rPr>
          <w:szCs w:val="24"/>
        </w:rPr>
        <w:t xml:space="preserve">Gastroenterology Department, </w:t>
      </w:r>
      <w:proofErr w:type="spellStart"/>
      <w:r>
        <w:rPr>
          <w:szCs w:val="24"/>
        </w:rPr>
        <w:t>Polycliniki</w:t>
      </w:r>
      <w:proofErr w:type="spellEnd"/>
      <w:r>
        <w:rPr>
          <w:szCs w:val="24"/>
        </w:rPr>
        <w:t xml:space="preserve"> </w:t>
      </w:r>
      <w:proofErr w:type="spellStart"/>
      <w:r>
        <w:rPr>
          <w:szCs w:val="24"/>
        </w:rPr>
        <w:t>Athinon</w:t>
      </w:r>
      <w:proofErr w:type="spellEnd"/>
      <w:r>
        <w:rPr>
          <w:szCs w:val="24"/>
        </w:rPr>
        <w:t>, Athens, Greece</w:t>
      </w:r>
    </w:p>
    <w:p w:rsidR="00D53ED3" w:rsidRDefault="000E6986">
      <w:pPr>
        <w:rPr>
          <w:szCs w:val="24"/>
          <w:highlight w:val="yellow"/>
        </w:rPr>
      </w:pPr>
      <w:r>
        <w:rPr>
          <w:vertAlign w:val="superscript"/>
        </w:rPr>
        <w:t>4</w:t>
      </w:r>
      <w:r>
        <w:t>Janssen-Cilag, Greece</w:t>
      </w:r>
    </w:p>
    <w:p w:rsidR="00D53ED3" w:rsidRDefault="000E6986">
      <w:pPr>
        <w:rPr>
          <w:szCs w:val="24"/>
        </w:rPr>
      </w:pPr>
      <w:r>
        <w:rPr>
          <w:szCs w:val="24"/>
          <w:vertAlign w:val="superscript"/>
        </w:rPr>
        <w:t>5</w:t>
      </w:r>
      <w:r>
        <w:rPr>
          <w:szCs w:val="24"/>
        </w:rPr>
        <w:t>Department of Statistics, Athens University of Economics and Business, Athens, Greece</w:t>
      </w:r>
    </w:p>
    <w:p w:rsidR="00D53ED3" w:rsidRDefault="000E6986">
      <w:pPr>
        <w:rPr>
          <w:highlight w:val="yellow"/>
        </w:rPr>
      </w:pPr>
      <w:r>
        <w:rPr>
          <w:szCs w:val="24"/>
          <w:vertAlign w:val="superscript"/>
        </w:rPr>
        <w:t>6</w:t>
      </w:r>
      <w:r>
        <w:t xml:space="preserve">Medical School, Athens University, Greece; </w:t>
      </w:r>
      <w:r>
        <w:rPr>
          <w:vertAlign w:val="superscript"/>
        </w:rPr>
        <w:t>+</w:t>
      </w:r>
      <w:r>
        <w:t>deceased 2010</w:t>
      </w:r>
    </w:p>
    <w:p w:rsidR="00D53ED3" w:rsidRDefault="000E6986">
      <w:pPr>
        <w:rPr>
          <w:vertAlign w:val="superscript"/>
        </w:rPr>
      </w:pPr>
      <w:r>
        <w:rPr>
          <w:vertAlign w:val="superscript"/>
        </w:rPr>
        <w:t xml:space="preserve">* </w:t>
      </w:r>
      <w:r>
        <w:t>These authors contributed equally to this work</w:t>
      </w:r>
    </w:p>
    <w:p w:rsidR="00D53ED3" w:rsidRDefault="00D53ED3"/>
    <w:p w:rsidR="00D53ED3" w:rsidRDefault="000E6986">
      <w:pPr>
        <w:pStyle w:val="Heading3"/>
      </w:pPr>
      <w:r>
        <w:lastRenderedPageBreak/>
        <w:t>Address for correspondence</w:t>
      </w:r>
    </w:p>
    <w:p w:rsidR="00D53ED3" w:rsidRDefault="000E6986">
      <w:r>
        <w:rPr>
          <w:bCs/>
        </w:rPr>
        <w:t>A</w:t>
      </w:r>
      <w:r>
        <w:t xml:space="preserve"> </w:t>
      </w:r>
      <w:proofErr w:type="spellStart"/>
      <w:r>
        <w:t>Papadokostopoulou</w:t>
      </w:r>
      <w:proofErr w:type="spellEnd"/>
    </w:p>
    <w:p w:rsidR="00D53ED3" w:rsidRDefault="000E6986">
      <w:r>
        <w:t>MAF department Janssen-</w:t>
      </w:r>
      <w:proofErr w:type="spellStart"/>
      <w:r>
        <w:t>Cilag</w:t>
      </w:r>
      <w:proofErr w:type="spellEnd"/>
      <w:r>
        <w:t xml:space="preserve"> Greece</w:t>
      </w:r>
    </w:p>
    <w:p w:rsidR="00D53ED3" w:rsidRDefault="000E6986">
      <w:r>
        <w:t xml:space="preserve">56 </w:t>
      </w:r>
      <w:proofErr w:type="spellStart"/>
      <w:r>
        <w:t>Eirinis</w:t>
      </w:r>
      <w:proofErr w:type="spellEnd"/>
      <w:r>
        <w:t xml:space="preserve"> Ave </w:t>
      </w:r>
    </w:p>
    <w:p w:rsidR="00D53ED3" w:rsidRDefault="000E6986">
      <w:r>
        <w:t xml:space="preserve">151 21 </w:t>
      </w:r>
      <w:proofErr w:type="spellStart"/>
      <w:r>
        <w:t>Pefki</w:t>
      </w:r>
      <w:proofErr w:type="spellEnd"/>
      <w:r>
        <w:t xml:space="preserve">-Athens-Greece </w:t>
      </w:r>
    </w:p>
    <w:p w:rsidR="00D53ED3" w:rsidRDefault="000E6986">
      <w:r>
        <w:t>Email: apapadok@its.jnj.com</w:t>
      </w:r>
    </w:p>
    <w:p w:rsidR="00D53ED3" w:rsidRPr="00BA07D1" w:rsidRDefault="00E376DB">
      <w:pPr>
        <w:pStyle w:val="Heading3"/>
      </w:pPr>
      <w:r w:rsidRPr="00BA07D1">
        <w:t xml:space="preserve">Conflicts of Interest and </w:t>
      </w:r>
      <w:r w:rsidR="000E6986" w:rsidRPr="00BA07D1">
        <w:t>Source of financial support</w:t>
      </w:r>
    </w:p>
    <w:p w:rsidR="00D53ED3" w:rsidRDefault="000E6986">
      <w:pPr>
        <w:rPr>
          <w:b/>
        </w:rPr>
      </w:pPr>
      <w:r>
        <w:t>This study was sponsored by Janssen-</w:t>
      </w:r>
      <w:proofErr w:type="spellStart"/>
      <w:r>
        <w:t>Cilag</w:t>
      </w:r>
      <w:proofErr w:type="spellEnd"/>
      <w:r>
        <w:t>, Greece</w:t>
      </w:r>
      <w:r>
        <w:rPr>
          <w:b/>
        </w:rPr>
        <w:t>.</w:t>
      </w:r>
    </w:p>
    <w:p w:rsidR="00BA07D1" w:rsidRDefault="00E376DB">
      <w:pPr>
        <w:rPr>
          <w:b/>
          <w:i/>
        </w:rPr>
      </w:pPr>
      <w:r w:rsidRPr="00BA07D1">
        <w:rPr>
          <w:b/>
          <w:i/>
        </w:rPr>
        <w:t>Statistical analyses</w:t>
      </w:r>
      <w:r w:rsidR="00BA07D1">
        <w:rPr>
          <w:b/>
          <w:i/>
        </w:rPr>
        <w:t>:</w:t>
      </w:r>
    </w:p>
    <w:p w:rsidR="00E376DB" w:rsidRPr="00DD718A" w:rsidRDefault="00E376DB">
      <w:pPr>
        <w:rPr>
          <w:b/>
          <w:i/>
          <w:color w:val="FF0000"/>
        </w:rPr>
      </w:pPr>
      <w:r w:rsidRPr="00BA07D1">
        <w:rPr>
          <w:b/>
          <w:i/>
        </w:rPr>
        <w:t xml:space="preserve"> </w:t>
      </w:r>
      <w:r w:rsidR="00BA07D1">
        <w:rPr>
          <w:lang w:val="en-US"/>
        </w:rPr>
        <w:t xml:space="preserve">Prof. I </w:t>
      </w:r>
      <w:proofErr w:type="spellStart"/>
      <w:r w:rsidR="00BA07D1">
        <w:rPr>
          <w:lang w:val="en-US"/>
        </w:rPr>
        <w:t>Zouboulis-</w:t>
      </w:r>
      <w:proofErr w:type="gramStart"/>
      <w:r w:rsidR="00BA07D1">
        <w:rPr>
          <w:lang w:val="en-US"/>
        </w:rPr>
        <w:t>Vafiadis</w:t>
      </w:r>
      <w:proofErr w:type="spellEnd"/>
      <w:r w:rsidR="00BA07D1">
        <w:rPr>
          <w:lang w:val="en-US"/>
        </w:rPr>
        <w:t xml:space="preserve"> :</w:t>
      </w:r>
      <w:proofErr w:type="gramEnd"/>
      <w:r w:rsidR="00BA07D1">
        <w:rPr>
          <w:vertAlign w:val="superscript"/>
          <w:lang w:val="en-US"/>
        </w:rPr>
        <w:t xml:space="preserve"> </w:t>
      </w:r>
      <w:r w:rsidR="00BA07D1">
        <w:rPr>
          <w:lang w:val="en-US"/>
        </w:rPr>
        <w:t>First Department of Propaedeutic Medicine, Athens University Medical School “</w:t>
      </w:r>
      <w:proofErr w:type="spellStart"/>
      <w:r w:rsidR="00BA07D1">
        <w:rPr>
          <w:lang w:val="en-US"/>
        </w:rPr>
        <w:t>Laiko</w:t>
      </w:r>
      <w:proofErr w:type="spellEnd"/>
      <w:r w:rsidR="00BA07D1">
        <w:rPr>
          <w:lang w:val="en-US"/>
        </w:rPr>
        <w:t>” General Hospital, Athens</w:t>
      </w:r>
    </w:p>
    <w:p w:rsidR="00D53ED3" w:rsidRDefault="000E6986">
      <w:pPr>
        <w:pStyle w:val="Heading3"/>
      </w:pPr>
      <w:r>
        <w:t xml:space="preserve">Running title </w:t>
      </w:r>
    </w:p>
    <w:p w:rsidR="00D53ED3" w:rsidRDefault="000E6986">
      <w:proofErr w:type="spellStart"/>
      <w:r>
        <w:t>Rabeprazole</w:t>
      </w:r>
      <w:proofErr w:type="spellEnd"/>
      <w:r>
        <w:t xml:space="preserve"> post-authorisation study</w:t>
      </w:r>
    </w:p>
    <w:p w:rsidR="00D53ED3" w:rsidRDefault="00D53ED3"/>
    <w:p w:rsidR="00D53ED3" w:rsidRDefault="000E6986">
      <w:pPr>
        <w:pStyle w:val="Heading2"/>
      </w:pPr>
      <w:r>
        <w:lastRenderedPageBreak/>
        <w:t xml:space="preserve">Abstract </w:t>
      </w:r>
    </w:p>
    <w:p w:rsidR="00D53ED3" w:rsidRDefault="000E6986">
      <w:pPr>
        <w:pStyle w:val="Heading3"/>
      </w:pPr>
      <w:r>
        <w:t>Background</w:t>
      </w:r>
    </w:p>
    <w:p w:rsidR="00D53ED3" w:rsidRDefault="000E6986">
      <w:proofErr w:type="spellStart"/>
      <w:r>
        <w:t>Rabeprazole</w:t>
      </w:r>
      <w:proofErr w:type="spellEnd"/>
      <w:r>
        <w:t xml:space="preserve"> produces a profound and long lasting inhibition of gastric acid secretion.</w:t>
      </w:r>
    </w:p>
    <w:p w:rsidR="00D53ED3" w:rsidRDefault="000E6986">
      <w:pPr>
        <w:pStyle w:val="Heading3"/>
      </w:pPr>
      <w:r>
        <w:t>Aim</w:t>
      </w:r>
    </w:p>
    <w:p w:rsidR="00D53ED3" w:rsidRDefault="000E6986">
      <w:r>
        <w:t xml:space="preserve">To monitor the safety and efficacy of </w:t>
      </w:r>
      <w:proofErr w:type="spellStart"/>
      <w:r>
        <w:t>rabeprazole</w:t>
      </w:r>
      <w:proofErr w:type="spellEnd"/>
      <w:r>
        <w:t xml:space="preserve"> administered to pat</w:t>
      </w:r>
      <w:r w:rsidR="008439B4">
        <w:t xml:space="preserve">ients with </w:t>
      </w:r>
      <w:proofErr w:type="gramStart"/>
      <w:r w:rsidR="008439B4">
        <w:t xml:space="preserve">erosive </w:t>
      </w:r>
      <w:r>
        <w:t xml:space="preserve"> gastr</w:t>
      </w:r>
      <w:r w:rsidR="008439B4">
        <w:t>o</w:t>
      </w:r>
      <w:proofErr w:type="gramEnd"/>
      <w:r w:rsidR="008439B4">
        <w:t>-oesophageal reflux disease (E</w:t>
      </w:r>
      <w:r>
        <w:t>RD), or with sympt</w:t>
      </w:r>
      <w:r w:rsidR="00867B57">
        <w:t>omatic GE</w:t>
      </w:r>
      <w:r w:rsidR="008439B4">
        <w:t xml:space="preserve">RD </w:t>
      </w:r>
      <w:r w:rsidR="00867B57">
        <w:t xml:space="preserve"> (non-erosive GE</w:t>
      </w:r>
      <w:r>
        <w:t>RD</w:t>
      </w:r>
      <w:r w:rsidR="008439B4">
        <w:t xml:space="preserve"> - NERD), in real-life</w:t>
      </w:r>
      <w:r>
        <w:t xml:space="preserve"> healthcare settings.</w:t>
      </w:r>
    </w:p>
    <w:p w:rsidR="00D53ED3" w:rsidRDefault="000E6986">
      <w:pPr>
        <w:pStyle w:val="Heading3"/>
      </w:pPr>
      <w:r>
        <w:t>Methods</w:t>
      </w:r>
    </w:p>
    <w:p w:rsidR="00D53ED3" w:rsidRDefault="000E6986">
      <w:r>
        <w:t>Male and female patients</w:t>
      </w:r>
      <w:r>
        <w:rPr>
          <w:color w:val="FF0000"/>
        </w:rPr>
        <w:t>,</w:t>
      </w:r>
      <w:r>
        <w:t xml:space="preserve"> aged </w:t>
      </w:r>
      <w:r>
        <w:rPr>
          <w:szCs w:val="24"/>
        </w:rPr>
        <w:sym w:font="Symbol" w:char="F0B3"/>
      </w:r>
      <w:r>
        <w:t xml:space="preserve"> 18 ye</w:t>
      </w:r>
      <w:r w:rsidR="00867B57">
        <w:t>ars, with endoscopy diagnosed GE</w:t>
      </w:r>
      <w:r>
        <w:t xml:space="preserve">RD were included; patients received at least 8 weeks treatment with </w:t>
      </w:r>
      <w:proofErr w:type="spellStart"/>
      <w:r>
        <w:t>rabeprazole</w:t>
      </w:r>
      <w:proofErr w:type="spellEnd"/>
      <w:r>
        <w:t xml:space="preserve">. Changes in severity of symptoms recorded on the </w:t>
      </w:r>
      <w:proofErr w:type="spellStart"/>
      <w:r>
        <w:t>Likert</w:t>
      </w:r>
      <w:proofErr w:type="spellEnd"/>
      <w:r>
        <w:t xml:space="preserve"> scale were analysed using marginal homogeneity tests.</w:t>
      </w:r>
    </w:p>
    <w:p w:rsidR="00D53ED3" w:rsidRDefault="000E6986">
      <w:pPr>
        <w:pStyle w:val="Heading3"/>
      </w:pPr>
      <w:r>
        <w:t>Results</w:t>
      </w:r>
    </w:p>
    <w:p w:rsidR="00D53ED3" w:rsidRDefault="000E6986">
      <w:r>
        <w:t>186 patients were enrolled across 17 study sites; 127 patients (68.3%) completed the study. Almost 75% of patients had an initial diag</w:t>
      </w:r>
      <w:r w:rsidR="00867B57">
        <w:t>nosis of GE</w:t>
      </w:r>
      <w:r>
        <w:t xml:space="preserve">RD with Grade A or B </w:t>
      </w:r>
      <w:r w:rsidR="008439B4">
        <w:t>esophagitis</w:t>
      </w:r>
      <w:r>
        <w:t>.</w:t>
      </w:r>
    </w:p>
    <w:p w:rsidR="00D53ED3" w:rsidRDefault="000E6986">
      <w:r>
        <w:t xml:space="preserve">The most commonly reported adverse events (AEs) were diarrhoea, flatulence, dizziness, cough, abdominal pain, upper abdominal pain and somnolence. Over half of AEs were unrelated to study drug; 1 severe AE of diarrhoea was possibly related to study drug. </w:t>
      </w:r>
      <w:proofErr w:type="gramStart"/>
      <w:r w:rsidR="007A2CF3">
        <w:t>No new AEs were reported not included in the current version of Summary of Product Characteristics (</w:t>
      </w:r>
      <w:proofErr w:type="spellStart"/>
      <w:r w:rsidR="007A2CF3">
        <w:t>SmPC</w:t>
      </w:r>
      <w:proofErr w:type="spellEnd"/>
      <w:r w:rsidR="007A2CF3">
        <w:t>).</w:t>
      </w:r>
      <w:proofErr w:type="gramEnd"/>
    </w:p>
    <w:p w:rsidR="00D53ED3" w:rsidRDefault="000E6986">
      <w:proofErr w:type="spellStart"/>
      <w:r>
        <w:lastRenderedPageBreak/>
        <w:t>Rabeprazole</w:t>
      </w:r>
      <w:proofErr w:type="spellEnd"/>
      <w:r>
        <w:t xml:space="preserve"> was effectiv</w:t>
      </w:r>
      <w:r w:rsidR="00867B57">
        <w:t>e in reducing the symptoms of GE</w:t>
      </w:r>
      <w:r>
        <w:t xml:space="preserve">RD; the </w:t>
      </w:r>
      <w:proofErr w:type="spellStart"/>
      <w:r>
        <w:t>Likert</w:t>
      </w:r>
      <w:proofErr w:type="spellEnd"/>
      <w:r>
        <w:t xml:space="preserve"> scale scores of symptoms decreased significantly for all patients from 0–4 weeks and 4–8 weeks. </w:t>
      </w:r>
    </w:p>
    <w:p w:rsidR="00D53ED3" w:rsidRDefault="000E6986">
      <w:pPr>
        <w:pStyle w:val="Heading3"/>
      </w:pPr>
      <w:r>
        <w:t>Conclusions</w:t>
      </w:r>
    </w:p>
    <w:p w:rsidR="00D53ED3" w:rsidRDefault="000E6986">
      <w:r>
        <w:t xml:space="preserve">In our study, </w:t>
      </w:r>
      <w:proofErr w:type="spellStart"/>
      <w:r>
        <w:t>rabeprazole</w:t>
      </w:r>
      <w:proofErr w:type="spellEnd"/>
      <w:r>
        <w:t xml:space="preserve"> was safe and effectiv</w:t>
      </w:r>
      <w:r w:rsidR="00867B57">
        <w:t>e in reducing the symptoms of GE</w:t>
      </w:r>
      <w:r>
        <w:t>RD.</w:t>
      </w:r>
    </w:p>
    <w:p w:rsidR="000E6986" w:rsidRDefault="000E6986" w:rsidP="000E6986">
      <w:pPr>
        <w:pStyle w:val="Heading3"/>
      </w:pPr>
      <w:r>
        <w:t>Keywords</w:t>
      </w:r>
    </w:p>
    <w:p w:rsidR="000E6986" w:rsidRDefault="000E6986" w:rsidP="000E6986">
      <w:proofErr w:type="spellStart"/>
      <w:r>
        <w:t>Rabeprazole</w:t>
      </w:r>
      <w:proofErr w:type="spellEnd"/>
      <w:r>
        <w:t>, post-authorisation safety study, gastro-oesophageal reflux di</w:t>
      </w:r>
      <w:r w:rsidR="00867B57">
        <w:t>sease (GE</w:t>
      </w:r>
      <w:r w:rsidR="007A2CF3">
        <w:t>RD), real life clinical practice</w:t>
      </w:r>
    </w:p>
    <w:p w:rsidR="000E6986" w:rsidRDefault="000E6986"/>
    <w:p w:rsidR="000E6986" w:rsidRDefault="000E6986"/>
    <w:p w:rsidR="00D53ED3" w:rsidRDefault="000E6986">
      <w:pPr>
        <w:pStyle w:val="Heading2"/>
      </w:pPr>
      <w:r>
        <w:lastRenderedPageBreak/>
        <w:t>Introduction</w:t>
      </w:r>
    </w:p>
    <w:p w:rsidR="00D53ED3" w:rsidRDefault="000E6986">
      <w:proofErr w:type="spellStart"/>
      <w:r>
        <w:t>Rabeprazole</w:t>
      </w:r>
      <w:proofErr w:type="spellEnd"/>
      <w:r>
        <w:t xml:space="preserve"> sodium belongs to the substituted </w:t>
      </w:r>
      <w:proofErr w:type="spellStart"/>
      <w:r>
        <w:t>benzimidazole</w:t>
      </w:r>
      <w:proofErr w:type="spellEnd"/>
      <w:r>
        <w:t xml:space="preserve"> group of anti</w:t>
      </w:r>
      <w:r>
        <w:noBreakHyphen/>
        <w:t>secretory agents that inhibit gastric acid secretion by the specific inhibition of the H</w:t>
      </w:r>
      <w:r>
        <w:rPr>
          <w:vertAlign w:val="superscript"/>
        </w:rPr>
        <w:t>+</w:t>
      </w:r>
      <w:r>
        <w:t>/K</w:t>
      </w:r>
      <w:r>
        <w:rPr>
          <w:vertAlign w:val="superscript"/>
        </w:rPr>
        <w:t>+</w:t>
      </w:r>
      <w:r w:rsidR="007A2CF3">
        <w:t>-ATPase enzyme (</w:t>
      </w:r>
      <w:r>
        <w:t>proton pump)</w:t>
      </w:r>
      <w:r w:rsidR="007A2CF3">
        <w:t xml:space="preserve"> of gastric parietal cells</w:t>
      </w:r>
      <w:r>
        <w:t xml:space="preserve">; </w:t>
      </w:r>
      <w:proofErr w:type="spellStart"/>
      <w:r>
        <w:t>rabeprazole</w:t>
      </w:r>
      <w:proofErr w:type="spellEnd"/>
      <w:r>
        <w:t xml:space="preserve"> produces a profound and long lasting inhibition of gastric acid secretion [</w:t>
      </w:r>
      <w:bookmarkStart w:id="0" w:name="_Hlt279567405"/>
      <w:bookmarkStart w:id="1" w:name="_Hlt279567406"/>
      <w:r w:rsidR="00102C4D">
        <w:fldChar w:fldCharType="begin"/>
      </w:r>
      <w:r>
        <w:instrText xml:space="preserve"> REF _Ref265485782 \r \h </w:instrText>
      </w:r>
      <w:r w:rsidR="00102C4D">
        <w:fldChar w:fldCharType="separate"/>
      </w:r>
      <w:r>
        <w:t>1</w:t>
      </w:r>
      <w:r w:rsidR="00102C4D">
        <w:fldChar w:fldCharType="end"/>
      </w:r>
      <w:bookmarkEnd w:id="0"/>
      <w:bookmarkEnd w:id="1"/>
      <w:r>
        <w:t xml:space="preserve">, </w:t>
      </w:r>
      <w:bookmarkStart w:id="2" w:name="_Hlt265486064"/>
      <w:bookmarkStart w:id="3" w:name="_Hlt265486065"/>
      <w:r w:rsidR="00102C4D">
        <w:fldChar w:fldCharType="begin"/>
      </w:r>
      <w:r>
        <w:instrText xml:space="preserve"> REF _Ref265485783 \r \h </w:instrText>
      </w:r>
      <w:r w:rsidR="00102C4D">
        <w:fldChar w:fldCharType="separate"/>
      </w:r>
      <w:r>
        <w:t>2</w:t>
      </w:r>
      <w:r w:rsidR="00102C4D">
        <w:fldChar w:fldCharType="end"/>
      </w:r>
      <w:bookmarkEnd w:id="2"/>
      <w:bookmarkEnd w:id="3"/>
      <w:r>
        <w:t>].</w:t>
      </w:r>
    </w:p>
    <w:p w:rsidR="00D53ED3" w:rsidRDefault="000E6986">
      <w:proofErr w:type="spellStart"/>
      <w:r>
        <w:t>Rabeprazole</w:t>
      </w:r>
      <w:proofErr w:type="spellEnd"/>
      <w:r>
        <w:t xml:space="preserve"> is indicated for the treatment of active duodenal ulcer, active benign gastric ulcer, s</w:t>
      </w:r>
      <w:r w:rsidR="007A2CF3">
        <w:t>ymptomatic erosive</w:t>
      </w:r>
      <w:r>
        <w:t xml:space="preserve"> gastr</w:t>
      </w:r>
      <w:r w:rsidR="007A2CF3">
        <w:t>o-oesophageal reflux disease (E</w:t>
      </w:r>
      <w:r w:rsidR="00867B57">
        <w:t>RD), GE</w:t>
      </w:r>
      <w:r>
        <w:t xml:space="preserve">RD long-term </w:t>
      </w:r>
      <w:r w:rsidR="00867B57">
        <w:t>management (GE</w:t>
      </w:r>
      <w:r>
        <w:t xml:space="preserve">RD maintenance treatment), symptomatic treatment of moderate to </w:t>
      </w:r>
      <w:r w:rsidR="00867B57">
        <w:t>very severe GE</w:t>
      </w:r>
      <w:r w:rsidR="007A2CF3">
        <w:t>RD (NE</w:t>
      </w:r>
      <w:r>
        <w:t xml:space="preserve">RD), </w:t>
      </w:r>
      <w:proofErr w:type="spellStart"/>
      <w:r>
        <w:t>Zollinger</w:t>
      </w:r>
      <w:proofErr w:type="spellEnd"/>
      <w:r>
        <w:t xml:space="preserve">-Ellison Syndrome, and in combination with appropriate antibacterial therapeutic regimens for the eradication of </w:t>
      </w:r>
      <w:r>
        <w:rPr>
          <w:rStyle w:val="Emphasis"/>
        </w:rPr>
        <w:t xml:space="preserve">Helicobacter pylori </w:t>
      </w:r>
      <w:r>
        <w:rPr>
          <w:rStyle w:val="Emphasis"/>
          <w:i w:val="0"/>
          <w:iCs w:val="0"/>
        </w:rPr>
        <w:t>(</w:t>
      </w:r>
      <w:r>
        <w:rPr>
          <w:rStyle w:val="Emphasis"/>
        </w:rPr>
        <w:t>H. pylori</w:t>
      </w:r>
      <w:r>
        <w:rPr>
          <w:rStyle w:val="Emphasis"/>
          <w:i w:val="0"/>
          <w:iCs w:val="0"/>
        </w:rPr>
        <w:t xml:space="preserve">) </w:t>
      </w:r>
      <w:r>
        <w:t>in patients with peptic ulcer disease [</w:t>
      </w:r>
      <w:bookmarkStart w:id="4" w:name="_Hlt271794509"/>
      <w:r w:rsidR="00102C4D">
        <w:fldChar w:fldCharType="begin"/>
      </w:r>
      <w:r>
        <w:instrText xml:space="preserve"> REF _Ref265486178 \r \h </w:instrText>
      </w:r>
      <w:r w:rsidR="00102C4D">
        <w:fldChar w:fldCharType="separate"/>
      </w:r>
      <w:r>
        <w:t>3</w:t>
      </w:r>
      <w:r w:rsidR="00102C4D">
        <w:fldChar w:fldCharType="end"/>
      </w:r>
      <w:bookmarkEnd w:id="4"/>
      <w:r>
        <w:t>].</w:t>
      </w:r>
    </w:p>
    <w:p w:rsidR="00D53ED3" w:rsidRDefault="000E6986">
      <w:r>
        <w:t xml:space="preserve">This post-authorisation safety study (PASS) was undertaken in accordance with European and International </w:t>
      </w:r>
      <w:proofErr w:type="spellStart"/>
      <w:r>
        <w:t>Pharmacovigilance</w:t>
      </w:r>
      <w:proofErr w:type="spellEnd"/>
      <w:r>
        <w:t xml:space="preserve"> Guidelines, which require that the safety and efficacy of drugs should be continuously monitored even after receiving marketing approval. The objective of the study was to collect data regarding the safety and efficacy of </w:t>
      </w:r>
      <w:proofErr w:type="spellStart"/>
      <w:r>
        <w:t>rabeprazole</w:t>
      </w:r>
      <w:proofErr w:type="spellEnd"/>
      <w:r>
        <w:t xml:space="preserve"> administered to adult pat</w:t>
      </w:r>
      <w:r w:rsidR="007A2CF3">
        <w:t>ients with erosive</w:t>
      </w:r>
      <w:r w:rsidR="00867B57">
        <w:t xml:space="preserve"> GE</w:t>
      </w:r>
      <w:r>
        <w:t>RD or with sympt</w:t>
      </w:r>
      <w:r w:rsidR="00867B57">
        <w:t>omatic GE</w:t>
      </w:r>
      <w:r w:rsidR="007A2CF3">
        <w:t>RD</w:t>
      </w:r>
      <w:r w:rsidR="00867B57">
        <w:t xml:space="preserve"> (non-erosive GE</w:t>
      </w:r>
      <w:r>
        <w:t>RD), i</w:t>
      </w:r>
      <w:r w:rsidR="007A2CF3">
        <w:t>n the real life clinical practice</w:t>
      </w:r>
      <w:r>
        <w:t xml:space="preserve">. The effectiveness of </w:t>
      </w:r>
      <w:proofErr w:type="spellStart"/>
      <w:r>
        <w:t>rabeprazole</w:t>
      </w:r>
      <w:proofErr w:type="spellEnd"/>
      <w:r>
        <w:t xml:space="preserve"> was assessed with endoscopy assessments and by monitoring symptoms.</w:t>
      </w:r>
    </w:p>
    <w:p w:rsidR="00D53ED3" w:rsidRDefault="000E6986">
      <w:pPr>
        <w:pStyle w:val="Heading2"/>
      </w:pPr>
      <w:r>
        <w:lastRenderedPageBreak/>
        <w:t>Patients and methods</w:t>
      </w:r>
    </w:p>
    <w:p w:rsidR="00D53ED3" w:rsidRDefault="000E6986">
      <w:pPr>
        <w:pStyle w:val="Heading3"/>
      </w:pPr>
      <w:r>
        <w:t>Study design, population, and treatments</w:t>
      </w:r>
    </w:p>
    <w:p w:rsidR="00D53ED3" w:rsidRDefault="000E6986">
      <w:r>
        <w:t>This was an open-label, non</w:t>
      </w:r>
      <w:r>
        <w:noBreakHyphen/>
        <w:t xml:space="preserve">comparative, multi-centre study undertaken in primary healthcare settings in Greece between 12 March 2003 and 25 November 2005. The study design followed the applicable requirements of the European guidelines on clinical studies (2001/20/EC) and specifically on non-interventional studies, as well as the applicable requirements of the European </w:t>
      </w:r>
      <w:proofErr w:type="spellStart"/>
      <w:r>
        <w:t>pharmacovigilance</w:t>
      </w:r>
      <w:proofErr w:type="spellEnd"/>
      <w:r>
        <w:t xml:space="preserve"> guidelines CPMP/</w:t>
      </w:r>
      <w:proofErr w:type="spellStart"/>
      <w:r>
        <w:t>PhVWP</w:t>
      </w:r>
      <w:proofErr w:type="spellEnd"/>
      <w:r>
        <w:t xml:space="preserve">/108/99 regarding observational safety studies. All patients gave written informed consent. </w:t>
      </w:r>
    </w:p>
    <w:p w:rsidR="00D53ED3" w:rsidRDefault="000E6986">
      <w:r>
        <w:t xml:space="preserve">The study included male and female patients aged </w:t>
      </w:r>
      <w:r>
        <w:rPr>
          <w:szCs w:val="24"/>
        </w:rPr>
        <w:sym w:font="Symbol" w:char="F0B3"/>
      </w:r>
      <w:r>
        <w:t xml:space="preserve"> 18 years with endoscopy diagnosed erosive </w:t>
      </w:r>
      <w:proofErr w:type="gramStart"/>
      <w:r w:rsidR="007A2CF3">
        <w:t xml:space="preserve">or </w:t>
      </w:r>
      <w:r w:rsidR="00867B57">
        <w:t xml:space="preserve"> non</w:t>
      </w:r>
      <w:proofErr w:type="gramEnd"/>
      <w:r w:rsidR="00867B57">
        <w:t>-erosive GE</w:t>
      </w:r>
      <w:r w:rsidR="007A2CF3">
        <w:t xml:space="preserve">RD and </w:t>
      </w:r>
      <w:r>
        <w:t>with no Barret</w:t>
      </w:r>
      <w:r w:rsidR="007A2CF3">
        <w:t>t</w:t>
      </w:r>
      <w:r>
        <w:t xml:space="preserve"> type metaplasia,. Patients should have experienced symptoms of their disease for at least 3 months before entering the study, including experiencing symptoms for at least 3 days per week within the 2 weeks before entering the study; symptoms could include heartburn, retrosternal pain, acid reflux and dysphagia</w:t>
      </w:r>
      <w:r w:rsidR="00CB06AD">
        <w:t xml:space="preserve"> which is an indication of complicated disease</w:t>
      </w:r>
      <w:bookmarkStart w:id="5" w:name="_GoBack"/>
      <w:bookmarkEnd w:id="5"/>
      <w:r>
        <w:t>. A patient could only be considered for participation in the study after a gas</w:t>
      </w:r>
      <w:r w:rsidR="00867B57">
        <w:t>troenterologist had diagnosed GE</w:t>
      </w:r>
      <w:r>
        <w:t xml:space="preserve">RD and prescribed treatment with </w:t>
      </w:r>
      <w:proofErr w:type="spellStart"/>
      <w:r>
        <w:t>rabeprazole</w:t>
      </w:r>
      <w:proofErr w:type="spellEnd"/>
      <w:r>
        <w:t xml:space="preserve">. </w:t>
      </w:r>
      <w:r w:rsidR="00B84C8A">
        <w:t xml:space="preserve">Upper endoscopic evaluation was, also, required for documenting the presence or absence of esophagitis.  </w:t>
      </w:r>
      <w:r>
        <w:t xml:space="preserve">Patients were excluded for any of the following reasons: any type of oesophageal narrowing or </w:t>
      </w:r>
      <w:r w:rsidR="00867B57">
        <w:t>esophagitis</w:t>
      </w:r>
      <w:r>
        <w:t xml:space="preserve"> of secondary systemic causes; active gastro-duodenal ulcer; infections other than </w:t>
      </w:r>
      <w:r>
        <w:rPr>
          <w:rStyle w:val="Emphasis"/>
        </w:rPr>
        <w:t>H. pylori</w:t>
      </w:r>
      <w:r>
        <w:rPr>
          <w:rStyle w:val="Emphasis"/>
          <w:i w:val="0"/>
          <w:iCs w:val="0"/>
        </w:rPr>
        <w:t xml:space="preserve"> </w:t>
      </w:r>
      <w:r>
        <w:t xml:space="preserve">gastritis; inflammatory conditions of small or large intestine; </w:t>
      </w:r>
      <w:proofErr w:type="spellStart"/>
      <w:r>
        <w:t>malabsorption</w:t>
      </w:r>
      <w:proofErr w:type="spellEnd"/>
      <w:r>
        <w:t xml:space="preserve"> syndromes; previous surgeries in stomach or intestine, including </w:t>
      </w:r>
      <w:proofErr w:type="spellStart"/>
      <w:r>
        <w:t>vagotomy</w:t>
      </w:r>
      <w:proofErr w:type="spellEnd"/>
      <w:r>
        <w:t xml:space="preserve"> (patients with history </w:t>
      </w:r>
      <w:r>
        <w:lastRenderedPageBreak/>
        <w:t>of ulcer, appendectomy or cholecystectomy could participate in the study); a recorded history of primary kinetic disor</w:t>
      </w:r>
      <w:r w:rsidR="00867B57">
        <w:t>ders of oesophagus other than GE</w:t>
      </w:r>
      <w:r>
        <w:t xml:space="preserve">RD, or oesophageal or stomach </w:t>
      </w:r>
      <w:proofErr w:type="spellStart"/>
      <w:r>
        <w:t>varices</w:t>
      </w:r>
      <w:proofErr w:type="spellEnd"/>
      <w:r>
        <w:t>; treatment with proton pump inhibitors within the 2 weeks before entering the study; co-existing severe systemic disease, including renal, hepatic and heart failure; receiving cancer</w:t>
      </w:r>
      <w:r>
        <w:rPr>
          <w:color w:val="FF0000"/>
        </w:rPr>
        <w:t xml:space="preserve"> </w:t>
      </w:r>
      <w:r>
        <w:t xml:space="preserve">treatment within the previous year (patients with successfully treated superficial basal cell carcinoma were allowed to participate); </w:t>
      </w:r>
      <w:proofErr w:type="spellStart"/>
      <w:r>
        <w:t>Zollinger</w:t>
      </w:r>
      <w:proofErr w:type="spellEnd"/>
      <w:r>
        <w:t xml:space="preserve">-Ellison syndrome; endoscopic evidence of active, </w:t>
      </w:r>
      <w:proofErr w:type="spellStart"/>
      <w:r>
        <w:t>haemodynamically</w:t>
      </w:r>
      <w:proofErr w:type="spellEnd"/>
      <w:r>
        <w:t xml:space="preserve"> significant, gastro</w:t>
      </w:r>
      <w:r>
        <w:noBreakHyphen/>
        <w:t>oesophageal haemorrhage; frequent use of aspirin, except in cases of prophylactic cardiovascular use at doses lower than 300 mg daily, or daily use of non-steroid anti-inflammatory drugs (NSAIDs).</w:t>
      </w:r>
    </w:p>
    <w:p w:rsidR="00D53ED3" w:rsidRDefault="000E6986">
      <w:r>
        <w:t xml:space="preserve">The study comprised 4 clinic visits at week 0, week 4, week 8 and month 4 (visits 1–4) and telephone contact at 6 and 12 months (visits 5 and 6). Patients were monitored for 12 months after entering the study. </w:t>
      </w:r>
    </w:p>
    <w:p w:rsidR="00D53ED3" w:rsidRDefault="000E6986">
      <w:r>
        <w:t xml:space="preserve">Patients received </w:t>
      </w:r>
      <w:proofErr w:type="spellStart"/>
      <w:r>
        <w:t>rabeprazole</w:t>
      </w:r>
      <w:proofErr w:type="spellEnd"/>
      <w:r>
        <w:t xml:space="preserve"> treatment for 8 weeks starting with a single 20 mg tablet before breakfast. The dose could be </w:t>
      </w:r>
      <w:r w:rsidR="00B84C8A">
        <w:t>adjusted according to investigators assessment for the management of patients’ disease</w:t>
      </w:r>
      <w:r>
        <w:t>. Dosing could continue after the 8-week study treatment period. During the study, drugs that are absorbed in a gastric pH dependent manner, such as ketoconazole, esters of ampicillin and iron salts were not allowed.</w:t>
      </w:r>
    </w:p>
    <w:p w:rsidR="00D53ED3" w:rsidRDefault="000E6986">
      <w:pPr>
        <w:pStyle w:val="Heading3"/>
      </w:pPr>
      <w:r>
        <w:t>Safety assessments</w:t>
      </w:r>
    </w:p>
    <w:p w:rsidR="00D53ED3" w:rsidRDefault="000E6986">
      <w:r>
        <w:t xml:space="preserve">Adverse events (AEs) were monitored from completion of 4 weeks of treatment until the end of the study. Clinical and physical examinations (including vital signs) and laboratory analyses were undertaken throughout the trial. </w:t>
      </w:r>
    </w:p>
    <w:p w:rsidR="00D53ED3" w:rsidRDefault="000E6986">
      <w:pPr>
        <w:pStyle w:val="Heading3"/>
      </w:pPr>
      <w:r>
        <w:lastRenderedPageBreak/>
        <w:t>Effectiveness assessments</w:t>
      </w:r>
    </w:p>
    <w:p w:rsidR="00D53ED3" w:rsidRDefault="000E6986">
      <w:r>
        <w:t xml:space="preserve">The degree of </w:t>
      </w:r>
      <w:r w:rsidR="00867B57">
        <w:t>esophagitis</w:t>
      </w:r>
      <w:r>
        <w:t xml:space="preserve"> was determined by endoscopy according to the Los Angeles classification [</w:t>
      </w:r>
      <w:bookmarkStart w:id="6" w:name="_Hlt279569762"/>
      <w:r w:rsidR="00102C4D">
        <w:fldChar w:fldCharType="begin"/>
      </w:r>
      <w:r>
        <w:instrText xml:space="preserve"> REF _Ref261506260 \r \h  \* MERGEFORMAT </w:instrText>
      </w:r>
      <w:r w:rsidR="00102C4D">
        <w:fldChar w:fldCharType="separate"/>
      </w:r>
      <w:r>
        <w:t>4</w:t>
      </w:r>
      <w:r w:rsidR="00102C4D">
        <w:fldChar w:fldCharType="end"/>
      </w:r>
      <w:bookmarkEnd w:id="6"/>
      <w:r>
        <w:t>] (Grade A: one [or more] mucosal break no longer than 5 mm, that does not extend between the tops of two mucosal folds; Grade B: one [or more] mucosal break more than 5 mm, that does not extend between the tops of two mucosal folds; Grade C: one [or more] mucosal break that is continuous between the tops of two or more folds but which involves less than 75% of the circumference; Grade D: one [or more] mucosal break which involves at least 75% of the oesophageal circumference).</w:t>
      </w:r>
    </w:p>
    <w:p w:rsidR="00D53ED3" w:rsidRDefault="000E6986">
      <w:r>
        <w:t>The s</w:t>
      </w:r>
      <w:r w:rsidR="00B84C8A">
        <w:t>ymptoms of erosive</w:t>
      </w:r>
      <w:r w:rsidR="00867B57">
        <w:t xml:space="preserve"> GE</w:t>
      </w:r>
      <w:r>
        <w:t xml:space="preserve">RD and the relationship between severity and the degree of </w:t>
      </w:r>
      <w:r w:rsidR="00867B57">
        <w:t>esophagitis</w:t>
      </w:r>
      <w:r>
        <w:t xml:space="preserve"> were recorded before entering the study, on the first day of treatment and after 7 days of treatment; patients were interviewed using telephone questionnaires on days 1 and 7. </w:t>
      </w:r>
    </w:p>
    <w:p w:rsidR="00D53ED3" w:rsidRDefault="000E6986">
      <w:r>
        <w:t xml:space="preserve">Symptom severity was further assessed at 4 weeks, 8 weeks, 4 months, 6 months and 12 months after the start of treatment. Recurrence was evaluated at 4, 6 and 12 months after the start of treatment. </w:t>
      </w:r>
    </w:p>
    <w:p w:rsidR="00D53ED3" w:rsidRDefault="000E6986">
      <w:r>
        <w:t xml:space="preserve">Endoscopy assessments were undertaken at 8 weeks and 4 months after the start of treatment, if required according to the clinical practice of the study centre. </w:t>
      </w:r>
    </w:p>
    <w:p w:rsidR="00D53ED3" w:rsidRDefault="000E6986">
      <w:pPr>
        <w:pStyle w:val="Heading3"/>
      </w:pPr>
      <w:r>
        <w:t>Severity of symptoms and recurrence</w:t>
      </w:r>
    </w:p>
    <w:p w:rsidR="00D53ED3" w:rsidRDefault="000E6986">
      <w:r>
        <w:t xml:space="preserve">Severity was determined for the symptoms of heartburn, retrosternal pain, regurgitation and dysphagia using the 5-point </w:t>
      </w:r>
      <w:proofErr w:type="spellStart"/>
      <w:r>
        <w:t>Likert</w:t>
      </w:r>
      <w:proofErr w:type="spellEnd"/>
      <w:r>
        <w:t xml:space="preserve"> Scale: </w:t>
      </w:r>
      <w:bookmarkStart w:id="7" w:name="OLE_LINK5"/>
      <w:r>
        <w:t xml:space="preserve">1, no problem; 2, mild problem, can be ignored with effort; 3, moderately severe problem, cannot be ignored </w:t>
      </w:r>
      <w:r>
        <w:lastRenderedPageBreak/>
        <w:t>but does not influences daily activities; 4, severe problem, cannot be ignored and often limits my concentration on daily activities; 5, very severe problem, cannot be ignored and markedly limits my daily activities and often requires rest</w:t>
      </w:r>
      <w:bookmarkEnd w:id="7"/>
      <w:r>
        <w:t xml:space="preserve"> [</w:t>
      </w:r>
      <w:bookmarkStart w:id="8" w:name="_Hlt279569746"/>
      <w:r w:rsidR="00102C4D">
        <w:fldChar w:fldCharType="begin"/>
      </w:r>
      <w:r>
        <w:instrText xml:space="preserve"> REF _Ref261864615 \r \h </w:instrText>
      </w:r>
      <w:r w:rsidR="00102C4D">
        <w:fldChar w:fldCharType="separate"/>
      </w:r>
      <w:r>
        <w:t>5</w:t>
      </w:r>
      <w:r w:rsidR="00102C4D">
        <w:fldChar w:fldCharType="end"/>
      </w:r>
      <w:bookmarkEnd w:id="8"/>
      <w:r>
        <w:t>].</w:t>
      </w:r>
    </w:p>
    <w:p w:rsidR="00D53ED3" w:rsidRDefault="000E6986">
      <w:r>
        <w:t>Recurrence was defined as at least 2 weekly episodes of heartburn of at least severity 3 after improvement in symptoms (heartburn severity ≤ 2) had been achieved during the previous treatment period.</w:t>
      </w:r>
    </w:p>
    <w:p w:rsidR="00D53ED3" w:rsidRDefault="000E6986">
      <w:pPr>
        <w:pStyle w:val="Heading3"/>
      </w:pPr>
      <w:r>
        <w:t>Statistical methods</w:t>
      </w:r>
    </w:p>
    <w:p w:rsidR="00D53ED3" w:rsidRDefault="000E6986">
      <w:r>
        <w:t xml:space="preserve">It was planned to recruit 300 patients in the study. This allowed for up to 15 patients to be recruited at each of the 17–21 potential study sites. The intent-to-treat (ITT) population included all patients enrolled in the study; this population was used for all the analyses. All patients included in the ITT population received at least 1 dose of </w:t>
      </w:r>
      <w:proofErr w:type="spellStart"/>
      <w:r>
        <w:t>rabeprazole</w:t>
      </w:r>
      <w:proofErr w:type="spellEnd"/>
      <w:r>
        <w:t>. One patient was enrolled but did not provide any data so was excluded from the analysis.</w:t>
      </w:r>
    </w:p>
    <w:p w:rsidR="00D53ED3" w:rsidRDefault="000E6986">
      <w:r>
        <w:t>All data were summarised descriptively. To test if there was a correlation between the different baseline characteristics, t tests were used. Categorical values were compared using a chi-square test [</w:t>
      </w:r>
      <w:r w:rsidR="00102C4D">
        <w:fldChar w:fldCharType="begin"/>
      </w:r>
      <w:r>
        <w:instrText xml:space="preserve"> REF _Ref279569995 \r \h </w:instrText>
      </w:r>
      <w:r w:rsidR="00102C4D">
        <w:fldChar w:fldCharType="separate"/>
      </w:r>
      <w:r>
        <w:t>6</w:t>
      </w:r>
      <w:r w:rsidR="00102C4D">
        <w:fldChar w:fldCharType="end"/>
      </w:r>
      <w:r>
        <w:t>]. Logistic regression analysis was performed to determine the effects of factors or covariates on binary variables [</w:t>
      </w:r>
      <w:r w:rsidR="00102C4D">
        <w:fldChar w:fldCharType="begin"/>
      </w:r>
      <w:r>
        <w:instrText xml:space="preserve"> REF _Ref279569995 \r \h </w:instrText>
      </w:r>
      <w:r w:rsidR="00102C4D">
        <w:fldChar w:fldCharType="separate"/>
      </w:r>
      <w:r>
        <w:t>6</w:t>
      </w:r>
      <w:r w:rsidR="00102C4D">
        <w:fldChar w:fldCharType="end"/>
      </w:r>
      <w:r>
        <w:t xml:space="preserve">]. </w:t>
      </w:r>
      <w:proofErr w:type="spellStart"/>
      <w:r>
        <w:t>McNemar</w:t>
      </w:r>
      <w:proofErr w:type="spellEnd"/>
      <w:r>
        <w:t xml:space="preserve"> tests were used to determine if 2 probabilities of success were equal at 2 time points or experimental conditions [</w:t>
      </w:r>
      <w:r w:rsidR="00102C4D">
        <w:fldChar w:fldCharType="begin"/>
      </w:r>
      <w:r>
        <w:instrText xml:space="preserve"> REF _Ref279569995 \r \h </w:instrText>
      </w:r>
      <w:r w:rsidR="00102C4D">
        <w:fldChar w:fldCharType="separate"/>
      </w:r>
      <w:r>
        <w:t>6</w:t>
      </w:r>
      <w:r w:rsidR="00102C4D">
        <w:fldChar w:fldCharType="end"/>
      </w:r>
      <w:r>
        <w:t xml:space="preserve">]. </w:t>
      </w:r>
    </w:p>
    <w:p w:rsidR="00D53ED3" w:rsidRDefault="000E6986">
      <w:r>
        <w:t xml:space="preserve">AEs were classified according to </w:t>
      </w:r>
      <w:proofErr w:type="spellStart"/>
      <w:r>
        <w:t>MedDRA</w:t>
      </w:r>
      <w:proofErr w:type="spellEnd"/>
      <w:r>
        <w:t xml:space="preserve"> version 13.0. A correlation between incidence of AEs and demographic data, clinical characteristics and concomitant medications was undertaken using a logistic regression model. Missing observational </w:t>
      </w:r>
      <w:r>
        <w:lastRenderedPageBreak/>
        <w:t>data for drug safety were not replaced. Concomitant medications were coded using the World Health Organization Drug Dictionary (WHODRUG) Q1 2008 and Anatomical-Therapeutic-Chemical (ATC) codes.</w:t>
      </w:r>
    </w:p>
    <w:p w:rsidR="00D53ED3" w:rsidRDefault="000E6986">
      <w:r>
        <w:t xml:space="preserve">Marginal homogeneity tests were used to determine the equality of </w:t>
      </w:r>
      <w:proofErr w:type="spellStart"/>
      <w:r>
        <w:t>Likert</w:t>
      </w:r>
      <w:proofErr w:type="spellEnd"/>
      <w:r>
        <w:t xml:space="preserve"> scale scores between successive visits [</w:t>
      </w:r>
      <w:r w:rsidR="00102C4D">
        <w:fldChar w:fldCharType="begin"/>
      </w:r>
      <w:r>
        <w:instrText xml:space="preserve"> REF _Ref279569995 \r \h </w:instrText>
      </w:r>
      <w:r w:rsidR="00102C4D">
        <w:fldChar w:fldCharType="separate"/>
      </w:r>
      <w:r>
        <w:t>6</w:t>
      </w:r>
      <w:r w:rsidR="00102C4D">
        <w:fldChar w:fldCharType="end"/>
      </w:r>
      <w:r>
        <w:t xml:space="preserve">, </w:t>
      </w:r>
      <w:r w:rsidR="00102C4D">
        <w:fldChar w:fldCharType="begin"/>
      </w:r>
      <w:r>
        <w:instrText xml:space="preserve"> REF _Ref279570054 \r \h </w:instrText>
      </w:r>
      <w:r w:rsidR="00102C4D">
        <w:fldChar w:fldCharType="separate"/>
      </w:r>
      <w:r>
        <w:t>7</w:t>
      </w:r>
      <w:r w:rsidR="00102C4D">
        <w:fldChar w:fldCharType="end"/>
      </w:r>
      <w:r>
        <w:t xml:space="preserve">]. All testing was 2-sided at </w:t>
      </w:r>
      <w:r>
        <w:rPr>
          <w:szCs w:val="24"/>
        </w:rPr>
        <w:sym w:font="Symbol" w:char="F061"/>
      </w:r>
      <w:r>
        <w:t xml:space="preserve"> = 5% significance level; statistically significant differences were indicated by p values &lt; 0.05. Missing data for effectiveness variables were not replaced.</w:t>
      </w:r>
    </w:p>
    <w:p w:rsidR="00D53ED3" w:rsidRDefault="000E6986">
      <w:r>
        <w:t>All analyses were performed using SAS version 8.02 (SAS Institute, Cary, NC USA).</w:t>
      </w:r>
    </w:p>
    <w:p w:rsidR="00D53ED3" w:rsidRDefault="000E6986">
      <w:pPr>
        <w:pStyle w:val="Heading2"/>
      </w:pPr>
      <w:r>
        <w:lastRenderedPageBreak/>
        <w:t>Results</w:t>
      </w:r>
    </w:p>
    <w:p w:rsidR="00D53ED3" w:rsidRDefault="000E6986">
      <w:pPr>
        <w:pStyle w:val="Heading3"/>
      </w:pPr>
      <w:r>
        <w:t>Participants</w:t>
      </w:r>
    </w:p>
    <w:p w:rsidR="00D53ED3" w:rsidRDefault="000E6986">
      <w:r>
        <w:t xml:space="preserve">A total of 186 patients were enrolled across the 17 study sites and were included in the ITT analysis. 127 patients (68.3%) completed the 12 month study period. </w:t>
      </w:r>
      <w:r>
        <w:rPr>
          <w:lang w:eastAsia="zh-CN"/>
        </w:rPr>
        <w:t>59 patients withdrew</w:t>
      </w:r>
      <w:r>
        <w:t>; no data were obtained from one patient, 35 patients were lost to follow-up and 11 patients withdrew their consent (</w:t>
      </w:r>
      <w:r w:rsidR="00102C4D">
        <w:fldChar w:fldCharType="begin"/>
      </w:r>
      <w:r>
        <w:instrText xml:space="preserve"> REF _Ref261865915 \h </w:instrText>
      </w:r>
      <w:r w:rsidR="00102C4D">
        <w:fldChar w:fldCharType="separate"/>
      </w:r>
      <w:r>
        <w:t xml:space="preserve">Figure </w:t>
      </w:r>
      <w:r>
        <w:rPr>
          <w:noProof/>
        </w:rPr>
        <w:t>1</w:t>
      </w:r>
      <w:r w:rsidR="00102C4D">
        <w:fldChar w:fldCharType="end"/>
      </w:r>
      <w:r>
        <w:t>). Withdrawals most commonly occurred during the 8</w:t>
      </w:r>
      <w:r>
        <w:noBreakHyphen/>
        <w:t xml:space="preserve">week treatment period, but there was another peak in the last 6 months of the study. </w:t>
      </w:r>
    </w:p>
    <w:p w:rsidR="00D53ED3" w:rsidRDefault="000E6986">
      <w:r>
        <w:t xml:space="preserve">Patient demography is summarised in </w:t>
      </w:r>
      <w:r w:rsidR="00102C4D">
        <w:fldChar w:fldCharType="begin"/>
      </w:r>
      <w:r>
        <w:instrText xml:space="preserve"> REF _Ref261434594 \h </w:instrText>
      </w:r>
      <w:r w:rsidR="00102C4D">
        <w:fldChar w:fldCharType="separate"/>
      </w:r>
      <w:r>
        <w:t xml:space="preserve">Table </w:t>
      </w:r>
      <w:r>
        <w:rPr>
          <w:noProof/>
        </w:rPr>
        <w:t>1</w:t>
      </w:r>
      <w:r w:rsidR="00102C4D">
        <w:fldChar w:fldCharType="end"/>
      </w:r>
      <w:r>
        <w:t xml:space="preserve">. There were approximately equal numbers of male and female patients and their median age (minimum–maximum) age was 55.0 (17–83) years. The most frequently reported types of gastrointestinal history were reflux </w:t>
      </w:r>
      <w:r w:rsidR="00867B57">
        <w:t>esophagitis, gastritis, non-erosive GE</w:t>
      </w:r>
      <w:r>
        <w:t xml:space="preserve">RD and previous eradication of </w:t>
      </w:r>
      <w:r>
        <w:rPr>
          <w:i/>
          <w:iCs/>
        </w:rPr>
        <w:t>H. pylori</w:t>
      </w:r>
      <w:r>
        <w:t>. Almost 75% of patient</w:t>
      </w:r>
      <w:r w:rsidR="00867B57">
        <w:t>s had an initial diagnosis of GE</w:t>
      </w:r>
      <w:r>
        <w:t xml:space="preserve">RD with Grade A (77 patients) or Grade B (60 patients) </w:t>
      </w:r>
      <w:r w:rsidR="00867B57">
        <w:t>esophagitis</w:t>
      </w:r>
      <w:r>
        <w:t>. Age and gender, age and smoking, age and alcohol consumption, smoking and gender, smoking and alcohol consumption and alcohol consumption and gender were all confounding factors (data not shown).</w:t>
      </w:r>
    </w:p>
    <w:p w:rsidR="00D53ED3" w:rsidRDefault="000E6986">
      <w:r>
        <w:t>There was a statistically significant relationship between initial diagnosis and withdrawal from the study (</w:t>
      </w:r>
      <w:r>
        <w:rPr>
          <w:szCs w:val="24"/>
        </w:rPr>
        <w:sym w:font="Symbol" w:char="F063"/>
      </w:r>
      <w:r>
        <w:rPr>
          <w:vertAlign w:val="superscript"/>
        </w:rPr>
        <w:t>2</w:t>
      </w:r>
      <w:r>
        <w:t xml:space="preserve"> </w:t>
      </w:r>
      <w:r>
        <w:rPr>
          <w:szCs w:val="24"/>
        </w:rPr>
        <w:sym w:font="Symbol" w:char="F03D"/>
      </w:r>
      <w:r>
        <w:t xml:space="preserve"> 13.941; p </w:t>
      </w:r>
      <w:r>
        <w:rPr>
          <w:szCs w:val="24"/>
        </w:rPr>
        <w:sym w:font="Symbol" w:char="F03D"/>
      </w:r>
      <w:r>
        <w:t xml:space="preserve"> 0.003); more patients with an ini</w:t>
      </w:r>
      <w:r w:rsidR="00867B57">
        <w:t>tial diagnosis of non-erosive GERD or GE</w:t>
      </w:r>
      <w:r>
        <w:t xml:space="preserve">RD with </w:t>
      </w:r>
      <w:r w:rsidR="00867B57">
        <w:t>esophagitis</w:t>
      </w:r>
      <w:r>
        <w:t xml:space="preserve"> Grade C or D withdrew from the study. There was no statistically significant relationship between withdrawals and age, gender, smoking status or alcohol consumption. Seven patients were lost to follow-up and were withdrawn from the study by the investigators after visit 2; these patients were included in the ITT population, and their inclusion did not </w:t>
      </w:r>
      <w:r>
        <w:lastRenderedPageBreak/>
        <w:t>change the results of the analysis of the relationship between withdrawals and patient demography.</w:t>
      </w:r>
    </w:p>
    <w:p w:rsidR="00D53ED3" w:rsidRDefault="000E6986">
      <w:r>
        <w:t>As this was a non-interventional study, the length of the treatment period was at the discretion of the physician, whilst the observation period was for 1 year.</w:t>
      </w:r>
    </w:p>
    <w:p w:rsidR="00D53ED3" w:rsidRDefault="000E6986">
      <w:pPr>
        <w:pStyle w:val="Heading3"/>
      </w:pPr>
      <w:r>
        <w:t xml:space="preserve">Dose of </w:t>
      </w:r>
      <w:proofErr w:type="spellStart"/>
      <w:r>
        <w:t>rabeprazole</w:t>
      </w:r>
      <w:proofErr w:type="spellEnd"/>
    </w:p>
    <w:p w:rsidR="00D53ED3" w:rsidRDefault="000E6986">
      <w:r>
        <w:t xml:space="preserve">The most frequent </w:t>
      </w:r>
      <w:proofErr w:type="spellStart"/>
      <w:r>
        <w:t>rabeprazole</w:t>
      </w:r>
      <w:proofErr w:type="spellEnd"/>
      <w:r>
        <w:t xml:space="preserve"> dosage was 20 mg/day, followed by 40 mg/day; however, the mean daily dosage decreased from 25.0 mg during month 1 to 24.3 mg and 20.9 mg during the following two months.</w:t>
      </w:r>
    </w:p>
    <w:p w:rsidR="00D53ED3" w:rsidRDefault="000E6986">
      <w:pPr>
        <w:pStyle w:val="Heading3"/>
      </w:pPr>
      <w:r>
        <w:t>Safety and tolerability</w:t>
      </w:r>
    </w:p>
    <w:p w:rsidR="00D53ED3" w:rsidRDefault="000E6986">
      <w:r>
        <w:t>During the study, 49 patients reported at least 1 AE (38/176 [21.6%], 16/156 [10.3%] and 11/147 [7.5%] patients during weeks 0–4, weeks 5–8 and months 3–4, respectively). At least 1 AE was reported by 39/116 (33.6%) patients with a medical history compared with 10/69 (14.5%) of patients without a medical history (</w:t>
      </w:r>
      <w:r>
        <w:rPr>
          <w:szCs w:val="24"/>
        </w:rPr>
        <w:sym w:font="Symbol" w:char="F063"/>
      </w:r>
      <w:r>
        <w:rPr>
          <w:vertAlign w:val="superscript"/>
        </w:rPr>
        <w:t>2</w:t>
      </w:r>
      <w:r>
        <w:t xml:space="preserve"> </w:t>
      </w:r>
      <w:r>
        <w:rPr>
          <w:szCs w:val="24"/>
        </w:rPr>
        <w:sym w:font="Symbol" w:char="F03D"/>
      </w:r>
      <w:r>
        <w:t xml:space="preserve"> 8.130; p </w:t>
      </w:r>
      <w:r>
        <w:rPr>
          <w:szCs w:val="24"/>
        </w:rPr>
        <w:sym w:font="Symbol" w:char="F03D"/>
      </w:r>
      <w:r>
        <w:t xml:space="preserve"> 0.004); there was no statistically significant relationship between any other patient baseline demographics and the occurrence of AEs. The AEs most commonly reported during the study (reported by </w:t>
      </w:r>
      <w:r>
        <w:rPr>
          <w:szCs w:val="24"/>
        </w:rPr>
        <w:sym w:font="Symbol" w:char="F0B3"/>
      </w:r>
      <w:r>
        <w:t xml:space="preserve"> 5% of patients) were diarrhoea (8 patients), flatulence (8 patient</w:t>
      </w:r>
      <w:r w:rsidR="00867B57">
        <w:t>s</w:t>
      </w:r>
      <w:r>
        <w:t xml:space="preserve">), dizziness (6 patients), cough (5 patients), abdominal pain (4 patients), upper abdominal pain (4 patients) and somnolence (4 patients). Most AEs were mild (57.4%) or moderate (39.4%), and only three AEs (abdominal pain, diarrhoea and low back pain) were graded as severe. The severe case of diarrhoea was considered to be possibly related to study drug and two AEs (dry mouth and tinnitus) were considered to be at least possibly associated with study drug; more than half of </w:t>
      </w:r>
      <w:r>
        <w:lastRenderedPageBreak/>
        <w:t>AEs were unrelated to study drug. Most AEs required no intervention and the majority had resolved by the end of the study. One patient suffered a myocardial infarction, which was considered to be unrelated to the study drug.</w:t>
      </w:r>
    </w:p>
    <w:p w:rsidR="00D53ED3" w:rsidRDefault="000E6986">
      <w:r>
        <w:t>There were no clinically significant out of range laboratory results or vital signs.</w:t>
      </w:r>
    </w:p>
    <w:p w:rsidR="00D53ED3" w:rsidRDefault="000E6986">
      <w:r>
        <w:t>Concomitant medications were taken by 89/185 (48.1%) patients during the study (</w:t>
      </w:r>
      <w:r w:rsidR="00102C4D">
        <w:fldChar w:fldCharType="begin"/>
      </w:r>
      <w:r>
        <w:instrText xml:space="preserve"> REF _Ref272400993 \h </w:instrText>
      </w:r>
      <w:r w:rsidR="00102C4D">
        <w:fldChar w:fldCharType="separate"/>
      </w:r>
      <w:r>
        <w:t xml:space="preserve">Table </w:t>
      </w:r>
      <w:r>
        <w:rPr>
          <w:noProof/>
        </w:rPr>
        <w:t>2</w:t>
      </w:r>
      <w:r w:rsidR="00102C4D">
        <w:fldChar w:fldCharType="end"/>
      </w:r>
      <w:r>
        <w:t xml:space="preserve">). Concomitant therapy was received by 81/116 (69.8%) patients with medical history compared with 8/69 (11.6%) patients with no medical history; </w:t>
      </w:r>
      <w:r>
        <w:rPr>
          <w:szCs w:val="24"/>
        </w:rPr>
        <w:sym w:font="Symbol" w:char="F063"/>
      </w:r>
      <w:r>
        <w:rPr>
          <w:vertAlign w:val="superscript"/>
        </w:rPr>
        <w:t>2</w:t>
      </w:r>
      <w:r>
        <w:t xml:space="preserve"> </w:t>
      </w:r>
      <w:r>
        <w:rPr>
          <w:szCs w:val="24"/>
        </w:rPr>
        <w:sym w:font="Symbol" w:char="F03D"/>
      </w:r>
      <w:r>
        <w:t xml:space="preserve"> 58.771, p </w:t>
      </w:r>
      <w:r>
        <w:rPr>
          <w:szCs w:val="24"/>
        </w:rPr>
        <w:sym w:font="Symbol" w:char="F03C"/>
      </w:r>
      <w:r>
        <w:t xml:space="preserve"> 0.001. AEs were reported by 34/89 (38.2%) patients receiving concomitant therapy compared with 15/96 (15.6%) patients with no concomitant therapy (</w:t>
      </w:r>
      <w:r>
        <w:rPr>
          <w:szCs w:val="24"/>
        </w:rPr>
        <w:sym w:font="Symbol" w:char="F063"/>
      </w:r>
      <w:r>
        <w:rPr>
          <w:vertAlign w:val="superscript"/>
        </w:rPr>
        <w:t>2</w:t>
      </w:r>
      <w:r>
        <w:t xml:space="preserve"> </w:t>
      </w:r>
      <w:r>
        <w:rPr>
          <w:szCs w:val="24"/>
        </w:rPr>
        <w:sym w:font="Symbol" w:char="F03D"/>
      </w:r>
      <w:r>
        <w:t xml:space="preserve"> 12.090, p </w:t>
      </w:r>
      <w:r>
        <w:rPr>
          <w:szCs w:val="24"/>
        </w:rPr>
        <w:sym w:font="Symbol" w:char="F03D"/>
      </w:r>
      <w:r>
        <w:t xml:space="preserve"> 0.001). There was a strong correlation between concomitant therapy and age; the logistic regression coefficient for age was 0.035 (standard error 0.010), p </w:t>
      </w:r>
      <w:r>
        <w:rPr>
          <w:szCs w:val="24"/>
        </w:rPr>
        <w:sym w:font="Symbol" w:char="F03C"/>
      </w:r>
      <w:r>
        <w:t> 0.001. No other confounding factors had a significant effect.</w:t>
      </w:r>
    </w:p>
    <w:p w:rsidR="00D53ED3" w:rsidRDefault="000E6986">
      <w:pPr>
        <w:pStyle w:val="Heading3"/>
      </w:pPr>
      <w:r>
        <w:t>Effectiveness results</w:t>
      </w:r>
    </w:p>
    <w:p w:rsidR="00D53ED3" w:rsidRDefault="000E6986">
      <w:r>
        <w:t xml:space="preserve">The number of patients reporting no or mild symptoms on the </w:t>
      </w:r>
      <w:proofErr w:type="spellStart"/>
      <w:r>
        <w:t>Likert</w:t>
      </w:r>
      <w:proofErr w:type="spellEnd"/>
      <w:r>
        <w:t xml:space="preserve"> scale increased throughout the study (</w:t>
      </w:r>
      <w:r w:rsidR="00102C4D">
        <w:fldChar w:fldCharType="begin"/>
      </w:r>
      <w:r>
        <w:instrText xml:space="preserve"> REF _Ref261956120 \h </w:instrText>
      </w:r>
      <w:r w:rsidR="00102C4D">
        <w:fldChar w:fldCharType="separate"/>
      </w:r>
      <w:r>
        <w:t xml:space="preserve">Figure </w:t>
      </w:r>
      <w:r>
        <w:rPr>
          <w:noProof/>
        </w:rPr>
        <w:t>2</w:t>
      </w:r>
      <w:r w:rsidR="00102C4D">
        <w:fldChar w:fldCharType="end"/>
      </w:r>
      <w:r>
        <w:t xml:space="preserve">, all patients; </w:t>
      </w:r>
      <w:r w:rsidR="00102C4D">
        <w:fldChar w:fldCharType="begin"/>
      </w:r>
      <w:r>
        <w:instrText xml:space="preserve"> REF _Ref261956122 \h </w:instrText>
      </w:r>
      <w:r w:rsidR="00102C4D">
        <w:fldChar w:fldCharType="separate"/>
      </w:r>
      <w:r>
        <w:t xml:space="preserve">Figure </w:t>
      </w:r>
      <w:r>
        <w:rPr>
          <w:noProof/>
        </w:rPr>
        <w:t>3</w:t>
      </w:r>
      <w:r w:rsidR="00102C4D">
        <w:fldChar w:fldCharType="end"/>
      </w:r>
      <w:r>
        <w:t>, patients with non-eros</w:t>
      </w:r>
      <w:r w:rsidR="00867B57">
        <w:t>ive GE</w:t>
      </w:r>
      <w:r>
        <w:t>RD). For all patients, marginal homogeneity tests showed that the decrease of symptoms from the start of the study to the end of 4 weeks was statistically significant, as was the decrease of symptoms from the end of 4 weeks to the end of 8 weeks. For the sub-group</w:t>
      </w:r>
      <w:r w:rsidR="00867B57">
        <w:t xml:space="preserve"> of patients with non-erosive GE</w:t>
      </w:r>
      <w:r>
        <w:t>RD, the decrease of symptoms from the start of the study to the end of 4 weeks was statistically significant.</w:t>
      </w:r>
    </w:p>
    <w:p w:rsidR="00D53ED3" w:rsidRDefault="000E6986">
      <w:r>
        <w:lastRenderedPageBreak/>
        <w:t>Information about remission (the decreas</w:t>
      </w:r>
      <w:r w:rsidR="00867B57">
        <w:t>e of severity or frequency of GE</w:t>
      </w:r>
      <w:r>
        <w:t xml:space="preserve">RD symptoms) was recorded for 171 patients. </w:t>
      </w:r>
      <w:proofErr w:type="gramStart"/>
      <w:r>
        <w:t>At the end of 4 and 8 weeks of treatment, 161/171 (94.2%) and 151/155 (97.4%) patients, respectively, showed remission of symptoms.</w:t>
      </w:r>
      <w:proofErr w:type="gramEnd"/>
      <w:r>
        <w:t xml:space="preserve"> Remission was observed in all 46 alcohol consumers compared with 113/123 (91.9%) alcohol non-consumers (</w:t>
      </w:r>
      <w:r>
        <w:rPr>
          <w:szCs w:val="24"/>
        </w:rPr>
        <w:sym w:font="Symbol" w:char="F063"/>
      </w:r>
      <w:r>
        <w:rPr>
          <w:vertAlign w:val="superscript"/>
        </w:rPr>
        <w:t>2</w:t>
      </w:r>
      <w:r>
        <w:t xml:space="preserve"> </w:t>
      </w:r>
      <w:r>
        <w:rPr>
          <w:szCs w:val="24"/>
        </w:rPr>
        <w:sym w:font="Symbol" w:char="F03D"/>
      </w:r>
      <w:r>
        <w:t xml:space="preserve"> 4.145, p </w:t>
      </w:r>
      <w:r>
        <w:rPr>
          <w:szCs w:val="24"/>
        </w:rPr>
        <w:sym w:font="Symbol" w:char="F03D"/>
      </w:r>
      <w:r>
        <w:t xml:space="preserve"> 0.042). No other confounding factors had a significant effect. </w:t>
      </w:r>
    </w:p>
    <w:p w:rsidR="00D53ED3" w:rsidRDefault="000E6986">
      <w:r>
        <w:t xml:space="preserve">After 4 weeks of treatment, remission was recorded in 114/123 (92.7%) patients receiving </w:t>
      </w:r>
      <w:bookmarkStart w:id="9" w:name="OLE_LINK7"/>
      <w:proofErr w:type="spellStart"/>
      <w:r>
        <w:t>rabeprazole</w:t>
      </w:r>
      <w:proofErr w:type="spellEnd"/>
      <w:r>
        <w:t xml:space="preserve"> 20 mg/day </w:t>
      </w:r>
      <w:bookmarkEnd w:id="9"/>
      <w:r>
        <w:t xml:space="preserve">and all patients receiving other doses (N </w:t>
      </w:r>
      <w:r>
        <w:rPr>
          <w:szCs w:val="24"/>
        </w:rPr>
        <w:sym w:font="Symbol" w:char="F03D"/>
      </w:r>
      <w:r>
        <w:t xml:space="preserve"> 168). After 8 weeks of treatment, 114/116 (98.3%) patients on </w:t>
      </w:r>
      <w:proofErr w:type="spellStart"/>
      <w:r>
        <w:t>rabeprazole</w:t>
      </w:r>
      <w:proofErr w:type="spellEnd"/>
      <w:r>
        <w:t xml:space="preserve"> 20 mg/day and all but one patients receiving other doses reported remission. For the sub-group</w:t>
      </w:r>
      <w:r w:rsidR="00867B57">
        <w:t xml:space="preserve"> of patients with non-erosive GE</w:t>
      </w:r>
      <w:r>
        <w:t xml:space="preserve">RD who received </w:t>
      </w:r>
      <w:proofErr w:type="spellStart"/>
      <w:r>
        <w:t>rabeprazole</w:t>
      </w:r>
      <w:proofErr w:type="spellEnd"/>
      <w:r>
        <w:t xml:space="preserve"> 20 mg/day, remission was reported by 16/20 (80%) and 10/11 (90.9%) patients after 4 and 8 weeks of treatment, respectively. After 4 months’ treatment, relapse of symptoms was observed in only 5/136 (3.7%) of all patients and one in the sub-group of patients with non-erosive GORD.</w:t>
      </w:r>
    </w:p>
    <w:p w:rsidR="00D53ED3" w:rsidRDefault="000E6986">
      <w:pPr>
        <w:rPr>
          <w:i/>
        </w:rPr>
      </w:pPr>
      <w:r>
        <w:rPr>
          <w:i/>
        </w:rPr>
        <w:t>Heartburn</w:t>
      </w:r>
    </w:p>
    <w:p w:rsidR="00D53ED3" w:rsidRDefault="000E6986">
      <w:r>
        <w:t xml:space="preserve">The frequency and severity of heartburn symptoms were reduced during treatment with </w:t>
      </w:r>
      <w:proofErr w:type="spellStart"/>
      <w:r>
        <w:t>rabeprazole</w:t>
      </w:r>
      <w:proofErr w:type="spellEnd"/>
      <w:r>
        <w:t xml:space="preserve"> (</w:t>
      </w:r>
      <w:r w:rsidR="00102C4D">
        <w:fldChar w:fldCharType="begin"/>
      </w:r>
      <w:r>
        <w:instrText xml:space="preserve"> REF _Ref298149646 \h </w:instrText>
      </w:r>
      <w:r w:rsidR="00102C4D">
        <w:fldChar w:fldCharType="separate"/>
      </w:r>
      <w:r>
        <w:t xml:space="preserve">Figure </w:t>
      </w:r>
      <w:r>
        <w:rPr>
          <w:noProof/>
        </w:rPr>
        <w:t>4</w:t>
      </w:r>
      <w:r w:rsidR="00102C4D">
        <w:fldChar w:fldCharType="end"/>
      </w:r>
      <w:r>
        <w:t xml:space="preserve">). 24 hours after the first dose of </w:t>
      </w:r>
      <w:proofErr w:type="spellStart"/>
      <w:r>
        <w:t>rabeprazole</w:t>
      </w:r>
      <w:proofErr w:type="spellEnd"/>
      <w:r>
        <w:t xml:space="preserve">, 110/183 (60.1%) patients had no symptoms of heartburn. After 7 days of </w:t>
      </w:r>
      <w:proofErr w:type="spellStart"/>
      <w:r>
        <w:t>rabeprazole</w:t>
      </w:r>
      <w:proofErr w:type="spellEnd"/>
      <w:r>
        <w:t xml:space="preserve"> treatment, 92 patients experienced no heartburn and 36 patients who had experienced heartburn in the first 24 hours did not feel any heartburn. More than 80% of patients reported that the severity of their heartburn symptoms was less important after 7 days compared with 24 hours after starting treatment. The severity of symptoms continued </w:t>
      </w:r>
      <w:r>
        <w:lastRenderedPageBreak/>
        <w:t>to become less important for the majority of patients during the remainder of the study. The effect of heartburn on daily activities decreased during the study (</w:t>
      </w:r>
      <w:r w:rsidR="00102C4D">
        <w:fldChar w:fldCharType="begin"/>
      </w:r>
      <w:r>
        <w:instrText xml:space="preserve"> REF _Ref298149646 \h </w:instrText>
      </w:r>
      <w:r w:rsidR="00102C4D">
        <w:fldChar w:fldCharType="separate"/>
      </w:r>
      <w:r>
        <w:t xml:space="preserve">Figure </w:t>
      </w:r>
      <w:r>
        <w:rPr>
          <w:noProof/>
        </w:rPr>
        <w:t>4</w:t>
      </w:r>
      <w:r w:rsidR="00102C4D">
        <w:fldChar w:fldCharType="end"/>
      </w:r>
      <w:r>
        <w:t xml:space="preserve">); heartburn had little or no effect on the daily activity of </w:t>
      </w:r>
      <w:r>
        <w:rPr>
          <w:szCs w:val="24"/>
        </w:rPr>
        <w:sym w:font="Symbol" w:char="F03E"/>
      </w:r>
      <w:r>
        <w:t xml:space="preserve"> 75% and </w:t>
      </w:r>
      <w:r>
        <w:rPr>
          <w:szCs w:val="24"/>
        </w:rPr>
        <w:sym w:font="Symbol" w:char="F03E"/>
      </w:r>
      <w:r>
        <w:t xml:space="preserve"> 90% of patients 7 days and 6 months after starting treatment, respectively. During the first 24 hours and the first 7 days after starting treatment, heartburn lasted for either </w:t>
      </w:r>
      <w:r>
        <w:rPr>
          <w:szCs w:val="24"/>
        </w:rPr>
        <w:sym w:font="Symbol" w:char="F03C"/>
      </w:r>
      <w:r>
        <w:t xml:space="preserve"> 1 hour or 1–3 hours for the majority of patients (</w:t>
      </w:r>
      <w:r w:rsidR="00102C4D">
        <w:fldChar w:fldCharType="begin"/>
      </w:r>
      <w:r>
        <w:instrText xml:space="preserve"> REF _Ref298149646 \h </w:instrText>
      </w:r>
      <w:r w:rsidR="00102C4D">
        <w:fldChar w:fldCharType="separate"/>
      </w:r>
      <w:r>
        <w:t xml:space="preserve">Figure </w:t>
      </w:r>
      <w:r>
        <w:rPr>
          <w:noProof/>
        </w:rPr>
        <w:t>4</w:t>
      </w:r>
      <w:r w:rsidR="00102C4D">
        <w:fldChar w:fldCharType="end"/>
      </w:r>
      <w:r>
        <w:t xml:space="preserve">). At least two heartburn events per week were experienced by 10/43 (23.3%) and 10/42 (23.8%) patients at 6 months and 12 months, respectively. All other patients experienced </w:t>
      </w:r>
      <w:r>
        <w:rPr>
          <w:szCs w:val="24"/>
        </w:rPr>
        <w:sym w:font="Symbol" w:char="F03C"/>
      </w:r>
      <w:r>
        <w:t xml:space="preserve"> 2 events per week. Treatment for heartburn was received by 35/44 (79.5%) and 30/42 (71.4%) patients at 6 months and 12 months, respectively.</w:t>
      </w:r>
    </w:p>
    <w:p w:rsidR="00D53ED3" w:rsidRDefault="000E6986">
      <w:pPr>
        <w:pStyle w:val="Heading2"/>
      </w:pPr>
      <w:r>
        <w:lastRenderedPageBreak/>
        <w:t>Discussion</w:t>
      </w:r>
    </w:p>
    <w:p w:rsidR="00D53ED3" w:rsidRDefault="000E6986">
      <w:r>
        <w:t>This open-label, non</w:t>
      </w:r>
      <w:r>
        <w:noBreakHyphen/>
        <w:t xml:space="preserve">comparative, multi-centre PASS collected data regarding the safety and efficacy of </w:t>
      </w:r>
      <w:proofErr w:type="spellStart"/>
      <w:r>
        <w:t>rabeprazole</w:t>
      </w:r>
      <w:proofErr w:type="spellEnd"/>
      <w:r>
        <w:t xml:space="preserve"> administered to adult patien</w:t>
      </w:r>
      <w:r w:rsidR="00A90672">
        <w:t>ts with erosive or non-erosive GERD, in the real life</w:t>
      </w:r>
      <w:r>
        <w:t xml:space="preserve"> healthcare setting. A patient could only be enrolled in the study after a gas</w:t>
      </w:r>
      <w:r w:rsidR="00A90672">
        <w:t>troenterologist had diagnosed GERD</w:t>
      </w:r>
      <w:r w:rsidR="00A90672" w:rsidRPr="00A90672">
        <w:t xml:space="preserve"> </w:t>
      </w:r>
      <w:r w:rsidR="00A90672">
        <w:t xml:space="preserve">and prescribed treatment with </w:t>
      </w:r>
      <w:proofErr w:type="spellStart"/>
      <w:r w:rsidR="00A90672">
        <w:t>rabeprazole</w:t>
      </w:r>
      <w:proofErr w:type="spellEnd"/>
      <w:r w:rsidR="00A90672">
        <w:t xml:space="preserve"> </w:t>
      </w:r>
      <w:proofErr w:type="gramStart"/>
      <w:r w:rsidR="00A90672">
        <w:t>and  the</w:t>
      </w:r>
      <w:proofErr w:type="gramEnd"/>
      <w:r w:rsidR="00A90672">
        <w:t xml:space="preserve"> patient had undergone</w:t>
      </w:r>
      <w:r>
        <w:t xml:space="preserve"> </w:t>
      </w:r>
      <w:r w:rsidR="00A90672">
        <w:t xml:space="preserve">upper </w:t>
      </w:r>
      <w:r>
        <w:t>endoscopy.</w:t>
      </w:r>
    </w:p>
    <w:p w:rsidR="00D53ED3" w:rsidRDefault="000E6986">
      <w:r>
        <w:t>The study planned to enrol 300 patients acros</w:t>
      </w:r>
      <w:r w:rsidR="00A90672">
        <w:t xml:space="preserve">s up to 21 study sites, but at </w:t>
      </w:r>
      <w:proofErr w:type="spellStart"/>
      <w:r w:rsidR="00A90672">
        <w:t>last</w:t>
      </w:r>
      <w:proofErr w:type="spellEnd"/>
      <w:r w:rsidR="00A90672">
        <w:t xml:space="preserve"> 186 patients were</w:t>
      </w:r>
      <w:r>
        <w:t xml:space="preserve"> recruited across 17 study sites during the 12-month recruitment </w:t>
      </w:r>
      <w:r w:rsidR="00A90672">
        <w:t>period. Considering the nature of the study (open-label, non-comparative, non-interventional) the</w:t>
      </w:r>
      <w:r w:rsidR="00CB06AD">
        <w:t xml:space="preserve"> sample size was acceptable for the main purpose of the </w:t>
      </w:r>
      <w:proofErr w:type="gramStart"/>
      <w:r w:rsidR="00CB06AD">
        <w:t>study, that</w:t>
      </w:r>
      <w:proofErr w:type="gramEnd"/>
      <w:r w:rsidR="00CB06AD">
        <w:t xml:space="preserve"> is the monitoring of </w:t>
      </w:r>
      <w:proofErr w:type="spellStart"/>
      <w:r w:rsidR="00CB06AD">
        <w:t>rabeprazole</w:t>
      </w:r>
      <w:proofErr w:type="spellEnd"/>
      <w:r w:rsidR="00CB06AD">
        <w:t xml:space="preserve"> safety</w:t>
      </w:r>
      <w:r>
        <w:t>.</w:t>
      </w:r>
    </w:p>
    <w:p w:rsidR="00D53ED3" w:rsidRDefault="000E6986">
      <w:r>
        <w:t>Almost 75% of patient</w:t>
      </w:r>
      <w:r w:rsidR="00A90672">
        <w:t>s had an initial diagnosis of GE</w:t>
      </w:r>
      <w:r>
        <w:t xml:space="preserve">RD with </w:t>
      </w:r>
      <w:r w:rsidR="00CB06AD">
        <w:t>esophagitis</w:t>
      </w:r>
      <w:r>
        <w:t xml:space="preserve"> Grade A or Grade B. Patients with an ini</w:t>
      </w:r>
      <w:r w:rsidR="00A90672">
        <w:t>tial di</w:t>
      </w:r>
      <w:r w:rsidR="00CB06AD">
        <w:t xml:space="preserve">agnosis of  NERD or </w:t>
      </w:r>
      <w:r w:rsidR="00A90672">
        <w:t>E</w:t>
      </w:r>
      <w:r>
        <w:t xml:space="preserve">RD with </w:t>
      </w:r>
      <w:r w:rsidR="00CB06AD">
        <w:t>esophagitis</w:t>
      </w:r>
      <w:r>
        <w:t xml:space="preserve"> Grade C or D were less likely to complete the one year observation period. This was not related to effectiveness however, as m</w:t>
      </w:r>
      <w:r w:rsidR="00A90672">
        <w:t>any patients with non-erosive GE</w:t>
      </w:r>
      <w:r>
        <w:t xml:space="preserve">RD were prematurely withdrawn from the study despite a large improvement in symptoms, possibly because continuous treatment with </w:t>
      </w:r>
      <w:proofErr w:type="spellStart"/>
      <w:r>
        <w:t>rabeprazole</w:t>
      </w:r>
      <w:proofErr w:type="spellEnd"/>
      <w:r>
        <w:t xml:space="preserve"> was not necessary. </w:t>
      </w:r>
      <w:r>
        <w:rPr>
          <w:rStyle w:val="CommentReference"/>
          <w:sz w:val="24"/>
        </w:rPr>
        <w:t>As</w:t>
      </w:r>
      <w:r>
        <w:t xml:space="preserve"> this was a non-interventional study, the physician was free to decide the adequate treatment period. However, this was a rather small group of patients so firm conclusions cannot be drawn.</w:t>
      </w:r>
    </w:p>
    <w:p w:rsidR="00D53ED3" w:rsidRDefault="000E6986">
      <w:r>
        <w:t xml:space="preserve">The majority of AEs reported during the study were mild or moderate, and more than half were unrelated to study drug. The most commonly reported AEs of diarrhoea, flatulence, dizziness, abdominal pain and upper abdominal pain are all known side </w:t>
      </w:r>
      <w:r>
        <w:lastRenderedPageBreak/>
        <w:t xml:space="preserve">effects of </w:t>
      </w:r>
      <w:proofErr w:type="spellStart"/>
      <w:r>
        <w:t>rabeprazole</w:t>
      </w:r>
      <w:proofErr w:type="spellEnd"/>
      <w:r>
        <w:t xml:space="preserve">; other AEs commonly associated with treatment with </w:t>
      </w:r>
      <w:proofErr w:type="spellStart"/>
      <w:r>
        <w:t>rabeprazole</w:t>
      </w:r>
      <w:proofErr w:type="spellEnd"/>
      <w:r>
        <w:t xml:space="preserve"> are headache, asthenia (fatigue), rash and dry mouth [</w:t>
      </w:r>
      <w:r w:rsidR="00102C4D">
        <w:fldChar w:fldCharType="begin"/>
      </w:r>
      <w:r>
        <w:instrText xml:space="preserve"> REF _Ref261506260 \r \h </w:instrText>
      </w:r>
      <w:r w:rsidR="00102C4D">
        <w:fldChar w:fldCharType="separate"/>
      </w:r>
      <w:r>
        <w:t>4</w:t>
      </w:r>
      <w:r w:rsidR="00102C4D">
        <w:fldChar w:fldCharType="end"/>
      </w:r>
      <w:r>
        <w:t xml:space="preserve">]. </w:t>
      </w:r>
    </w:p>
    <w:p w:rsidR="00D53ED3" w:rsidRDefault="000E6986">
      <w:proofErr w:type="spellStart"/>
      <w:r>
        <w:t>Rabeprazole</w:t>
      </w:r>
      <w:proofErr w:type="spellEnd"/>
      <w:r>
        <w:t xml:space="preserve"> was effectiv</w:t>
      </w:r>
      <w:r w:rsidR="00A90672">
        <w:t>e in reducing the symptoms of GE</w:t>
      </w:r>
      <w:r>
        <w:t xml:space="preserve">RD during the study; there was a significant decrease in the </w:t>
      </w:r>
      <w:proofErr w:type="spellStart"/>
      <w:r>
        <w:t>Likert</w:t>
      </w:r>
      <w:proofErr w:type="spellEnd"/>
      <w:r>
        <w:t xml:space="preserve"> scale scores of symptoms for all patients from 0–4 weeks and 4–8 weeks, and </w:t>
      </w:r>
      <w:r w:rsidR="00A90672">
        <w:t>for patients with non-erosive GE</w:t>
      </w:r>
      <w:r>
        <w:t>RD from 0–4 weeks. Remission (decrease in the severit</w:t>
      </w:r>
      <w:r w:rsidR="00A90672">
        <w:t>y or frequency of symptoms of GE</w:t>
      </w:r>
      <w:r>
        <w:t xml:space="preserve">RD) was observed in 94.2% patients and 97.4% patients after 4 weeks and 8 weeks, respectively. Only 3.7% patients reported relapse of symptoms after 4 months. The frequency and severity of heartburn symptoms were reduced during treatment with </w:t>
      </w:r>
      <w:proofErr w:type="spellStart"/>
      <w:r>
        <w:t>rabeprazole</w:t>
      </w:r>
      <w:proofErr w:type="spellEnd"/>
      <w:r>
        <w:t xml:space="preserve">; 60.1% and 70.7% patients had no symptoms of heartburn 24 hours and 7 days after the first dose of </w:t>
      </w:r>
      <w:proofErr w:type="spellStart"/>
      <w:r>
        <w:t>rabeprazole</w:t>
      </w:r>
      <w:proofErr w:type="spellEnd"/>
      <w:r>
        <w:t>, respectively, and more than 80% of patients reported their symptoms to be less important 7 days after starting treatment compared with 24 hours after starting treatment. Consistent with the reduction in the frequency and severity of heartburn symptoms, the effect of heartburn on daily activities also decreased during the study.</w:t>
      </w:r>
    </w:p>
    <w:p w:rsidR="00D53ED3" w:rsidRDefault="000E6986">
      <w:r>
        <w:t xml:space="preserve">The effectiveness results of our study are comparable with the results of a community-based, open-label assessment of patients with erosive </w:t>
      </w:r>
      <w:r w:rsidR="00CB06AD">
        <w:t>disease</w:t>
      </w:r>
      <w:r>
        <w:t xml:space="preserve"> that include</w:t>
      </w:r>
      <w:r w:rsidR="00A90672">
        <w:t>d 2,579 patients with erosive GE</w:t>
      </w:r>
      <w:r>
        <w:t xml:space="preserve">RD who were treated with </w:t>
      </w:r>
      <w:proofErr w:type="spellStart"/>
      <w:r>
        <w:t>rabeprazole</w:t>
      </w:r>
      <w:proofErr w:type="spellEnd"/>
      <w:r>
        <w:t xml:space="preserve"> 20 mg/day for 8 weeks [</w:t>
      </w:r>
      <w:bookmarkStart w:id="10" w:name="_Hlt271802490"/>
      <w:r w:rsidR="00102C4D">
        <w:fldChar w:fldCharType="begin"/>
      </w:r>
      <w:r>
        <w:instrText xml:space="preserve"> REF _Ref265583332 \r \h </w:instrText>
      </w:r>
      <w:r w:rsidR="00102C4D">
        <w:fldChar w:fldCharType="separate"/>
      </w:r>
      <w:r>
        <w:t>8</w:t>
      </w:r>
      <w:r w:rsidR="00102C4D">
        <w:fldChar w:fldCharType="end"/>
      </w:r>
      <w:bookmarkEnd w:id="10"/>
      <w:r>
        <w:t xml:space="preserve">]; complete relief of daytime and night-time heartburn was achieved in 64.0% and 69.2% of symptomatic patients, respectively, on day 1, and in 81.1% and 85.7% of patients, respectively, on day 7. The severity of symptoms of heartburn progressively decreased from day 1 to week 4 of treatment. The severity of symptoms of regurgitation, dysphagia and belching also decreased by day 1 and </w:t>
      </w:r>
      <w:r>
        <w:lastRenderedPageBreak/>
        <w:t>continued to improve from day 1 to week 4 of treatment. Health</w:t>
      </w:r>
      <w:r>
        <w:noBreakHyphen/>
        <w:t xml:space="preserve">related quality of life scores were significantly improved after 8 weeks of treatment with </w:t>
      </w:r>
      <w:proofErr w:type="spellStart"/>
      <w:r>
        <w:t>rabeprazole</w:t>
      </w:r>
      <w:proofErr w:type="spellEnd"/>
      <w:r>
        <w:t>.</w:t>
      </w:r>
    </w:p>
    <w:p w:rsidR="00D53ED3" w:rsidRDefault="000E6986">
      <w:r>
        <w:t>Although patients experienced impr</w:t>
      </w:r>
      <w:r w:rsidR="00A90672">
        <w:t>ovements in their symptoms of GE</w:t>
      </w:r>
      <w:r>
        <w:t xml:space="preserve">RD during our study, there was no control group and therefore conclusions about the effectiveness of </w:t>
      </w:r>
      <w:proofErr w:type="spellStart"/>
      <w:r>
        <w:t>rabeprazole</w:t>
      </w:r>
      <w:proofErr w:type="spellEnd"/>
      <w:r>
        <w:t xml:space="preserve"> should be made with caution. The sample size of the sub-group</w:t>
      </w:r>
      <w:r w:rsidR="00A90672">
        <w:t xml:space="preserve"> of patients with non-erosive GE</w:t>
      </w:r>
      <w:r>
        <w:t xml:space="preserve">RD was small, so these results should be interpreted cautiously. Similarly, the sample size included in the analyses of heartburn symptoms was low. </w:t>
      </w:r>
    </w:p>
    <w:p w:rsidR="00D53ED3" w:rsidRDefault="000E6986">
      <w:r>
        <w:t xml:space="preserve">In conclusion, the safety of </w:t>
      </w:r>
      <w:proofErr w:type="spellStart"/>
      <w:r>
        <w:t>rabeprazole</w:t>
      </w:r>
      <w:proofErr w:type="spellEnd"/>
      <w:r>
        <w:t xml:space="preserve"> in this study was comparable with the previously reported </w:t>
      </w:r>
      <w:proofErr w:type="spellStart"/>
      <w:r>
        <w:t>rabeprazole</w:t>
      </w:r>
      <w:proofErr w:type="spellEnd"/>
      <w:r>
        <w:t xml:space="preserve"> safety pro</w:t>
      </w:r>
      <w:r w:rsidR="00CB06AD">
        <w:t xml:space="preserve">file. </w:t>
      </w:r>
      <w:proofErr w:type="spellStart"/>
      <w:r w:rsidR="00CB06AD">
        <w:t>Rabeprazole</w:t>
      </w:r>
      <w:proofErr w:type="spellEnd"/>
      <w:r w:rsidR="00CB06AD">
        <w:t xml:space="preserve"> in the everyday</w:t>
      </w:r>
      <w:r>
        <w:t xml:space="preserve"> health care setting was effective in reducing the symptom</w:t>
      </w:r>
      <w:r w:rsidR="00A90672">
        <w:t>s of GE</w:t>
      </w:r>
      <w:r>
        <w:t>RD,</w:t>
      </w:r>
      <w:r w:rsidR="00CB06AD">
        <w:t xml:space="preserve"> complicated or not,</w:t>
      </w:r>
      <w:r>
        <w:t xml:space="preserve"> including the frequency and severity of heartburn.</w:t>
      </w:r>
    </w:p>
    <w:p w:rsidR="00D53ED3" w:rsidRDefault="000E6986">
      <w:pPr>
        <w:pStyle w:val="Heading2"/>
      </w:pPr>
      <w:r>
        <w:lastRenderedPageBreak/>
        <w:t xml:space="preserve">Acknowledgements  </w:t>
      </w:r>
    </w:p>
    <w:p w:rsidR="00D53ED3" w:rsidRDefault="000E6986">
      <w:r>
        <w:t xml:space="preserve">We would like to thank the following investigators involved in this study: Dr </w:t>
      </w:r>
      <w:proofErr w:type="spellStart"/>
      <w:r>
        <w:t>Ritas</w:t>
      </w:r>
      <w:proofErr w:type="spellEnd"/>
      <w:r>
        <w:t xml:space="preserve">, </w:t>
      </w:r>
      <w:proofErr w:type="spellStart"/>
      <w:r>
        <w:t>Tzaneio</w:t>
      </w:r>
      <w:proofErr w:type="spellEnd"/>
      <w:r>
        <w:t xml:space="preserve"> General Hospital </w:t>
      </w:r>
      <w:proofErr w:type="spellStart"/>
      <w:r>
        <w:t>Tzaneio</w:t>
      </w:r>
      <w:proofErr w:type="spellEnd"/>
      <w:r>
        <w:t xml:space="preserve">; Dr </w:t>
      </w:r>
      <w:proofErr w:type="spellStart"/>
      <w:r>
        <w:t>Psilopatis</w:t>
      </w:r>
      <w:proofErr w:type="spellEnd"/>
      <w:r>
        <w:t xml:space="preserve">, </w:t>
      </w:r>
      <w:proofErr w:type="spellStart"/>
      <w:r>
        <w:t>Nikaia</w:t>
      </w:r>
      <w:proofErr w:type="spellEnd"/>
      <w:r>
        <w:t xml:space="preserve"> General Hospital; Dr </w:t>
      </w:r>
      <w:proofErr w:type="spellStart"/>
      <w:r>
        <w:t>Samonis</w:t>
      </w:r>
      <w:proofErr w:type="spellEnd"/>
      <w:r>
        <w:t xml:space="preserve"> and Dr </w:t>
      </w:r>
      <w:proofErr w:type="spellStart"/>
      <w:r>
        <w:t>Koulentakis</w:t>
      </w:r>
      <w:proofErr w:type="spellEnd"/>
      <w:r>
        <w:t xml:space="preserve">, University Hospital of </w:t>
      </w:r>
      <w:proofErr w:type="spellStart"/>
      <w:r>
        <w:t>Heraklion</w:t>
      </w:r>
      <w:proofErr w:type="spellEnd"/>
      <w:r>
        <w:t xml:space="preserve">; Dr </w:t>
      </w:r>
      <w:proofErr w:type="spellStart"/>
      <w:r>
        <w:t>Malamos</w:t>
      </w:r>
      <w:proofErr w:type="spellEnd"/>
      <w:r>
        <w:t xml:space="preserve">, Helena </w:t>
      </w:r>
      <w:proofErr w:type="spellStart"/>
      <w:r>
        <w:t>Venizelou</w:t>
      </w:r>
      <w:proofErr w:type="spellEnd"/>
      <w:r>
        <w:t xml:space="preserve"> General and Maternity District Hospital; Dr Diamantopoulos and Dr </w:t>
      </w:r>
      <w:proofErr w:type="spellStart"/>
      <w:r>
        <w:t>Mertzanos</w:t>
      </w:r>
      <w:proofErr w:type="spellEnd"/>
      <w:r>
        <w:t xml:space="preserve">, </w:t>
      </w:r>
      <w:proofErr w:type="spellStart"/>
      <w:r>
        <w:t>Evagelismos</w:t>
      </w:r>
      <w:proofErr w:type="spellEnd"/>
      <w:r>
        <w:t xml:space="preserve"> General Hospital; Dr </w:t>
      </w:r>
      <w:proofErr w:type="spellStart"/>
      <w:r>
        <w:t>Karnesis</w:t>
      </w:r>
      <w:proofErr w:type="spellEnd"/>
      <w:r>
        <w:t xml:space="preserve">, 401 General Military Hospital of Athens; Dr </w:t>
      </w:r>
      <w:proofErr w:type="spellStart"/>
      <w:r>
        <w:t>Lappas</w:t>
      </w:r>
      <w:proofErr w:type="spellEnd"/>
      <w:r>
        <w:t xml:space="preserve">, </w:t>
      </w:r>
      <w:proofErr w:type="spellStart"/>
      <w:r>
        <w:t>Trikala</w:t>
      </w:r>
      <w:proofErr w:type="spellEnd"/>
      <w:r>
        <w:t xml:space="preserve"> General Hospital; Dr </w:t>
      </w:r>
      <w:proofErr w:type="spellStart"/>
      <w:r>
        <w:t>Giannoulis</w:t>
      </w:r>
      <w:proofErr w:type="spellEnd"/>
      <w:r>
        <w:t xml:space="preserve">, AHEPA University Hospital of Thessaloniki; Dr </w:t>
      </w:r>
      <w:proofErr w:type="spellStart"/>
      <w:r>
        <w:t>Gogos</w:t>
      </w:r>
      <w:proofErr w:type="spellEnd"/>
      <w:r>
        <w:t xml:space="preserve">, General University Hospital of </w:t>
      </w:r>
      <w:proofErr w:type="spellStart"/>
      <w:r>
        <w:t>Patras</w:t>
      </w:r>
      <w:proofErr w:type="spellEnd"/>
      <w:r>
        <w:t xml:space="preserve">; Dr </w:t>
      </w:r>
      <w:proofErr w:type="spellStart"/>
      <w:r>
        <w:t>Migdalis</w:t>
      </w:r>
      <w:proofErr w:type="spellEnd"/>
      <w:r>
        <w:t xml:space="preserve">, 417 VA NIMTS Hospital; Dr </w:t>
      </w:r>
      <w:proofErr w:type="spellStart"/>
      <w:r>
        <w:t>Manolakopoulos</w:t>
      </w:r>
      <w:proofErr w:type="spellEnd"/>
      <w:r>
        <w:t xml:space="preserve">, </w:t>
      </w:r>
      <w:proofErr w:type="spellStart"/>
      <w:r>
        <w:t>Polykliniki</w:t>
      </w:r>
      <w:proofErr w:type="spellEnd"/>
      <w:r>
        <w:t xml:space="preserve"> </w:t>
      </w:r>
      <w:proofErr w:type="spellStart"/>
      <w:r>
        <w:t>Athinon</w:t>
      </w:r>
      <w:proofErr w:type="spellEnd"/>
      <w:r>
        <w:t xml:space="preserve">; Dr </w:t>
      </w:r>
      <w:proofErr w:type="spellStart"/>
      <w:r>
        <w:t>Panoutsopoulos</w:t>
      </w:r>
      <w:proofErr w:type="spellEnd"/>
      <w:r>
        <w:t xml:space="preserve">, </w:t>
      </w:r>
      <w:proofErr w:type="spellStart"/>
      <w:r>
        <w:t>Thriasio</w:t>
      </w:r>
      <w:proofErr w:type="spellEnd"/>
      <w:r>
        <w:t xml:space="preserve"> General Hospital of </w:t>
      </w:r>
      <w:proofErr w:type="spellStart"/>
      <w:r>
        <w:t>Elefsina</w:t>
      </w:r>
      <w:proofErr w:type="spellEnd"/>
      <w:r>
        <w:t xml:space="preserve">; Dr </w:t>
      </w:r>
      <w:proofErr w:type="spellStart"/>
      <w:r>
        <w:t>Spyropoulos</w:t>
      </w:r>
      <w:proofErr w:type="spellEnd"/>
      <w:r>
        <w:t xml:space="preserve">, </w:t>
      </w:r>
      <w:proofErr w:type="spellStart"/>
      <w:r>
        <w:t>Achillopouleion</w:t>
      </w:r>
      <w:proofErr w:type="spellEnd"/>
      <w:r>
        <w:t xml:space="preserve"> General Hospital of Volos; Dr </w:t>
      </w:r>
      <w:proofErr w:type="spellStart"/>
      <w:r>
        <w:t>Arvanitidis</w:t>
      </w:r>
      <w:proofErr w:type="spellEnd"/>
      <w:r>
        <w:t xml:space="preserve">, 251 Hellenic </w:t>
      </w:r>
      <w:proofErr w:type="spellStart"/>
      <w:r>
        <w:t>Airforce</w:t>
      </w:r>
      <w:proofErr w:type="spellEnd"/>
      <w:r>
        <w:t xml:space="preserve"> General Hospital; Dr </w:t>
      </w:r>
      <w:proofErr w:type="spellStart"/>
      <w:r>
        <w:t>Katsilambros</w:t>
      </w:r>
      <w:proofErr w:type="spellEnd"/>
      <w:r>
        <w:t xml:space="preserve">, </w:t>
      </w:r>
      <w:proofErr w:type="spellStart"/>
      <w:r>
        <w:t>Laiko</w:t>
      </w:r>
      <w:proofErr w:type="spellEnd"/>
      <w:r>
        <w:t xml:space="preserve"> General Hospital. We would also like to thank Melanie Lee of Dianthus Medical Limited for assistance in the preparation of the manuscript on behalf of Janssen</w:t>
      </w:r>
      <w:r>
        <w:noBreakHyphen/>
      </w:r>
      <w:proofErr w:type="spellStart"/>
      <w:r>
        <w:t>Cilag</w:t>
      </w:r>
      <w:proofErr w:type="spellEnd"/>
      <w:r>
        <w:t xml:space="preserve"> in accordance with the European Medical Writers Association guidelines.</w:t>
      </w:r>
    </w:p>
    <w:p w:rsidR="00D53ED3" w:rsidRDefault="00D53ED3"/>
    <w:p w:rsidR="00D53ED3" w:rsidRDefault="000E6986">
      <w:pPr>
        <w:pStyle w:val="Heading2"/>
      </w:pPr>
      <w:r>
        <w:lastRenderedPageBreak/>
        <w:t>References</w:t>
      </w:r>
    </w:p>
    <w:p w:rsidR="00D53ED3" w:rsidRDefault="000E6986">
      <w:pPr>
        <w:pStyle w:val="References"/>
      </w:pPr>
      <w:bookmarkStart w:id="11" w:name="_Ref265485782"/>
      <w:r>
        <w:t xml:space="preserve">Baldwin CM, </w:t>
      </w:r>
      <w:proofErr w:type="spellStart"/>
      <w:r>
        <w:t>Keam</w:t>
      </w:r>
      <w:proofErr w:type="spellEnd"/>
      <w:r>
        <w:t xml:space="preserve"> SJ. </w:t>
      </w:r>
      <w:proofErr w:type="spellStart"/>
      <w:r>
        <w:t>Rabeprazole</w:t>
      </w:r>
      <w:proofErr w:type="spellEnd"/>
      <w:r>
        <w:t xml:space="preserve">: a review of its use in the management of gastric acid-related diseases in adults. </w:t>
      </w:r>
      <w:r>
        <w:rPr>
          <w:i/>
          <w:iCs/>
        </w:rPr>
        <w:t>Drugs</w:t>
      </w:r>
      <w:r>
        <w:t xml:space="preserve"> 2009; </w:t>
      </w:r>
      <w:r>
        <w:rPr>
          <w:b/>
          <w:bCs/>
        </w:rPr>
        <w:t>69(10)</w:t>
      </w:r>
      <w:r>
        <w:t>: 1373–401.</w:t>
      </w:r>
      <w:bookmarkEnd w:id="11"/>
    </w:p>
    <w:p w:rsidR="00D53ED3" w:rsidRDefault="000E6986">
      <w:pPr>
        <w:pStyle w:val="References"/>
      </w:pPr>
      <w:bookmarkStart w:id="12" w:name="_Ref265485783"/>
      <w:proofErr w:type="spellStart"/>
      <w:r>
        <w:t>Dadabhai</w:t>
      </w:r>
      <w:proofErr w:type="spellEnd"/>
      <w:r>
        <w:t xml:space="preserve"> A, </w:t>
      </w:r>
      <w:proofErr w:type="spellStart"/>
      <w:r>
        <w:t>Friedenberg</w:t>
      </w:r>
      <w:proofErr w:type="spellEnd"/>
      <w:r>
        <w:t xml:space="preserve"> FK. </w:t>
      </w:r>
      <w:proofErr w:type="spellStart"/>
      <w:r>
        <w:t>Rabeprazole</w:t>
      </w:r>
      <w:proofErr w:type="spellEnd"/>
      <w:r>
        <w:t xml:space="preserve">: a pharmacologic and clinical review for acid-related disorders. </w:t>
      </w:r>
      <w:r>
        <w:rPr>
          <w:i/>
          <w:iCs/>
        </w:rPr>
        <w:t xml:space="preserve">Expert </w:t>
      </w:r>
      <w:proofErr w:type="spellStart"/>
      <w:r>
        <w:rPr>
          <w:i/>
          <w:iCs/>
        </w:rPr>
        <w:t>Opin</w:t>
      </w:r>
      <w:proofErr w:type="spellEnd"/>
      <w:r>
        <w:rPr>
          <w:i/>
          <w:iCs/>
        </w:rPr>
        <w:t xml:space="preserve"> Drug </w:t>
      </w:r>
      <w:proofErr w:type="spellStart"/>
      <w:r>
        <w:rPr>
          <w:i/>
          <w:iCs/>
        </w:rPr>
        <w:t>Saf</w:t>
      </w:r>
      <w:proofErr w:type="spellEnd"/>
      <w:r>
        <w:t xml:space="preserve"> 2009; </w:t>
      </w:r>
      <w:r>
        <w:rPr>
          <w:b/>
          <w:bCs/>
        </w:rPr>
        <w:t>8(1)</w:t>
      </w:r>
      <w:r>
        <w:t>: 119–26.</w:t>
      </w:r>
      <w:bookmarkEnd w:id="12"/>
    </w:p>
    <w:p w:rsidR="00D53ED3" w:rsidRDefault="000E6986">
      <w:pPr>
        <w:pStyle w:val="References"/>
      </w:pPr>
      <w:bookmarkStart w:id="13" w:name="_Ref265486178"/>
      <w:proofErr w:type="spellStart"/>
      <w:r>
        <w:t>Pariet</w:t>
      </w:r>
      <w:proofErr w:type="spellEnd"/>
      <w:r>
        <w:rPr>
          <w:vertAlign w:val="superscript"/>
        </w:rPr>
        <w:t>™</w:t>
      </w:r>
      <w:r>
        <w:t xml:space="preserve"> summary of product </w:t>
      </w:r>
      <w:proofErr w:type="spellStart"/>
      <w:r>
        <w:t>characteritstics</w:t>
      </w:r>
      <w:proofErr w:type="spellEnd"/>
      <w:r>
        <w:t xml:space="preserve">. Available at </w:t>
      </w:r>
      <w:hyperlink r:id="rId8" w:history="1">
        <w:r>
          <w:rPr>
            <w:rStyle w:val="Hyperlink"/>
          </w:rPr>
          <w:t>http://www.medicines.ie/medicine/2</w:t>
        </w:r>
        <w:bookmarkStart w:id="14" w:name="_Hlt271794559"/>
        <w:bookmarkStart w:id="15" w:name="_Hlt271794564"/>
        <w:r>
          <w:rPr>
            <w:rStyle w:val="Hyperlink"/>
          </w:rPr>
          <w:t>1</w:t>
        </w:r>
        <w:bookmarkEnd w:id="14"/>
        <w:bookmarkEnd w:id="15"/>
        <w:r>
          <w:rPr>
            <w:rStyle w:val="Hyperlink"/>
          </w:rPr>
          <w:t>03/SPC/Pariet/</w:t>
        </w:r>
      </w:hyperlink>
      <w:r>
        <w:t>. Accessed 16 September 2010.</w:t>
      </w:r>
      <w:bookmarkEnd w:id="13"/>
    </w:p>
    <w:p w:rsidR="00D53ED3" w:rsidRDefault="000E6986">
      <w:pPr>
        <w:pStyle w:val="References"/>
      </w:pPr>
      <w:bookmarkStart w:id="16" w:name="_Ref261506260"/>
      <w:r>
        <w:t xml:space="preserve">Armstrong D, Bennett JR, Blum AL, et al. The endoscopic assessment of esophagitis: a progress report on observer agreement. </w:t>
      </w:r>
      <w:r>
        <w:rPr>
          <w:i/>
          <w:iCs/>
        </w:rPr>
        <w:t>Gastroenterology</w:t>
      </w:r>
      <w:r>
        <w:t xml:space="preserve"> 1996; </w:t>
      </w:r>
      <w:r>
        <w:rPr>
          <w:b/>
          <w:bCs/>
        </w:rPr>
        <w:t>111(1)</w:t>
      </w:r>
      <w:r>
        <w:t>: 85–92.</w:t>
      </w:r>
      <w:bookmarkEnd w:id="16"/>
    </w:p>
    <w:p w:rsidR="00D53ED3" w:rsidRDefault="000E6986">
      <w:pPr>
        <w:pStyle w:val="References"/>
      </w:pPr>
      <w:bookmarkStart w:id="17" w:name="_Ref261864615"/>
      <w:proofErr w:type="spellStart"/>
      <w:r w:rsidRPr="001E42C5">
        <w:rPr>
          <w:lang w:val="de-DE"/>
        </w:rPr>
        <w:t>Veldhuyzen</w:t>
      </w:r>
      <w:proofErr w:type="spellEnd"/>
      <w:r w:rsidRPr="001E42C5">
        <w:rPr>
          <w:lang w:val="de-DE"/>
        </w:rPr>
        <w:t xml:space="preserve"> van </w:t>
      </w:r>
      <w:proofErr w:type="spellStart"/>
      <w:r w:rsidRPr="001E42C5">
        <w:rPr>
          <w:lang w:val="de-DE"/>
        </w:rPr>
        <w:t>Zanten</w:t>
      </w:r>
      <w:proofErr w:type="spellEnd"/>
      <w:r w:rsidRPr="001E42C5">
        <w:rPr>
          <w:lang w:val="de-DE"/>
        </w:rPr>
        <w:t xml:space="preserve"> SJ, </w:t>
      </w:r>
      <w:proofErr w:type="spellStart"/>
      <w:r w:rsidRPr="001E42C5">
        <w:rPr>
          <w:lang w:val="de-DE"/>
        </w:rPr>
        <w:t>Tytgat</w:t>
      </w:r>
      <w:proofErr w:type="spellEnd"/>
      <w:r w:rsidRPr="001E42C5">
        <w:rPr>
          <w:lang w:val="de-DE"/>
        </w:rPr>
        <w:t xml:space="preserve"> KM, Pollak PT, et al. </w:t>
      </w:r>
      <w:r>
        <w:t xml:space="preserve">Can severity of symptoms be used as an outcome measure in trials of non-ulcer dyspepsia and Helicobacter pylori associated gastritis? </w:t>
      </w:r>
      <w:r>
        <w:rPr>
          <w:i/>
          <w:iCs/>
        </w:rPr>
        <w:t xml:space="preserve">J </w:t>
      </w:r>
      <w:proofErr w:type="spellStart"/>
      <w:r>
        <w:rPr>
          <w:i/>
          <w:iCs/>
        </w:rPr>
        <w:t>Clin</w:t>
      </w:r>
      <w:proofErr w:type="spellEnd"/>
      <w:r>
        <w:rPr>
          <w:i/>
          <w:iCs/>
        </w:rPr>
        <w:t xml:space="preserve"> </w:t>
      </w:r>
      <w:proofErr w:type="spellStart"/>
      <w:r>
        <w:rPr>
          <w:i/>
          <w:iCs/>
        </w:rPr>
        <w:t>Epidemiol</w:t>
      </w:r>
      <w:proofErr w:type="spellEnd"/>
      <w:r>
        <w:t xml:space="preserve"> 1993; </w:t>
      </w:r>
      <w:r>
        <w:rPr>
          <w:b/>
          <w:bCs/>
        </w:rPr>
        <w:t>46(3)</w:t>
      </w:r>
      <w:r>
        <w:t>: 273–9.</w:t>
      </w:r>
      <w:bookmarkEnd w:id="17"/>
    </w:p>
    <w:p w:rsidR="00D53ED3" w:rsidRDefault="000E6986">
      <w:pPr>
        <w:pStyle w:val="References"/>
        <w:rPr>
          <w:lang w:val="en-US"/>
        </w:rPr>
      </w:pPr>
      <w:bookmarkStart w:id="18" w:name="_Ref279569995"/>
      <w:proofErr w:type="spellStart"/>
      <w:r>
        <w:rPr>
          <w:lang w:val="en-US"/>
        </w:rPr>
        <w:t>Armitage</w:t>
      </w:r>
      <w:proofErr w:type="spellEnd"/>
      <w:r>
        <w:rPr>
          <w:lang w:val="en-US"/>
        </w:rPr>
        <w:t xml:space="preserve"> P, Berry G, Matthews JNS. Statistical Methods in Medical Research. Oxford: Blackwell Scientific Publications; 2002.</w:t>
      </w:r>
      <w:bookmarkEnd w:id="18"/>
    </w:p>
    <w:p w:rsidR="00D53ED3" w:rsidRDefault="000E6986">
      <w:pPr>
        <w:pStyle w:val="References"/>
      </w:pPr>
      <w:bookmarkStart w:id="19" w:name="_Ref279570054"/>
      <w:r w:rsidRPr="001E42C5">
        <w:rPr>
          <w:lang w:val="de-DE"/>
        </w:rPr>
        <w:t xml:space="preserve">Bishop YMM, </w:t>
      </w:r>
      <w:proofErr w:type="spellStart"/>
      <w:r w:rsidRPr="001E42C5">
        <w:rPr>
          <w:lang w:val="de-DE"/>
        </w:rPr>
        <w:t>Fienberg</w:t>
      </w:r>
      <w:proofErr w:type="spellEnd"/>
      <w:r w:rsidRPr="001E42C5">
        <w:rPr>
          <w:lang w:val="de-DE"/>
        </w:rPr>
        <w:t xml:space="preserve"> SE, Holland PW. </w:t>
      </w:r>
      <w:r>
        <w:t>Discrete Multivariate Analysis, Theory and Practice. Cambridge, Massachusetts: MIT Press; 1995.</w:t>
      </w:r>
      <w:bookmarkEnd w:id="19"/>
    </w:p>
    <w:p w:rsidR="00D53ED3" w:rsidRDefault="000E6986">
      <w:pPr>
        <w:pStyle w:val="References"/>
      </w:pPr>
      <w:bookmarkStart w:id="20" w:name="_Ref265583332"/>
      <w:r>
        <w:t xml:space="preserve">Robinson M, Fitzgerald S, </w:t>
      </w:r>
      <w:proofErr w:type="spellStart"/>
      <w:r>
        <w:t>Hegedus</w:t>
      </w:r>
      <w:proofErr w:type="spellEnd"/>
      <w:r>
        <w:t xml:space="preserve"> R, Murthy A, </w:t>
      </w:r>
      <w:proofErr w:type="spellStart"/>
      <w:r>
        <w:t>Jokubaitis</w:t>
      </w:r>
      <w:proofErr w:type="spellEnd"/>
      <w:r>
        <w:t xml:space="preserve"> L; FAST Trial Investigators. Onset of symptom relief with </w:t>
      </w:r>
      <w:proofErr w:type="spellStart"/>
      <w:r>
        <w:t>rabeprazole</w:t>
      </w:r>
      <w:proofErr w:type="spellEnd"/>
      <w:r>
        <w:t xml:space="preserve">: a community-based, </w:t>
      </w:r>
      <w:r>
        <w:lastRenderedPageBreak/>
        <w:t xml:space="preserve">open-label assessment of patients with erosive </w:t>
      </w:r>
      <w:proofErr w:type="spellStart"/>
      <w:r>
        <w:t>oesophagitis</w:t>
      </w:r>
      <w:proofErr w:type="spellEnd"/>
      <w:r>
        <w:t xml:space="preserve">. </w:t>
      </w:r>
      <w:r>
        <w:rPr>
          <w:i/>
          <w:iCs/>
        </w:rPr>
        <w:t xml:space="preserve">Aliment </w:t>
      </w:r>
      <w:proofErr w:type="spellStart"/>
      <w:r>
        <w:rPr>
          <w:i/>
          <w:iCs/>
        </w:rPr>
        <w:t>Pharmacol</w:t>
      </w:r>
      <w:proofErr w:type="spellEnd"/>
      <w:r>
        <w:rPr>
          <w:i/>
          <w:iCs/>
        </w:rPr>
        <w:t xml:space="preserve"> </w:t>
      </w:r>
      <w:proofErr w:type="spellStart"/>
      <w:r>
        <w:rPr>
          <w:i/>
          <w:iCs/>
        </w:rPr>
        <w:t>Ther</w:t>
      </w:r>
      <w:proofErr w:type="spellEnd"/>
      <w:r>
        <w:t xml:space="preserve"> 2002; </w:t>
      </w:r>
      <w:r>
        <w:rPr>
          <w:b/>
          <w:bCs/>
        </w:rPr>
        <w:t>16(3)</w:t>
      </w:r>
      <w:r>
        <w:t>: 445–54.</w:t>
      </w:r>
      <w:bookmarkEnd w:id="20"/>
    </w:p>
    <w:p w:rsidR="00D53ED3" w:rsidRDefault="000E6986">
      <w:pPr>
        <w:pStyle w:val="Heading2"/>
      </w:pPr>
      <w:r>
        <w:lastRenderedPageBreak/>
        <w:t>Tables</w:t>
      </w:r>
    </w:p>
    <w:p w:rsidR="00D53ED3" w:rsidRDefault="000E6986">
      <w:pPr>
        <w:pStyle w:val="Caption"/>
      </w:pPr>
      <w:bookmarkStart w:id="21" w:name="_Ref261434594"/>
      <w:r>
        <w:t xml:space="preserve">Table </w:t>
      </w:r>
      <w:r w:rsidR="00102C4D">
        <w:fldChar w:fldCharType="begin"/>
      </w:r>
      <w:r>
        <w:instrText xml:space="preserve"> SEQ Table \* ARABIC </w:instrText>
      </w:r>
      <w:r w:rsidR="00102C4D">
        <w:fldChar w:fldCharType="separate"/>
      </w:r>
      <w:r>
        <w:rPr>
          <w:noProof/>
        </w:rPr>
        <w:t>1</w:t>
      </w:r>
      <w:r w:rsidR="00102C4D">
        <w:fldChar w:fldCharType="end"/>
      </w:r>
      <w:bookmarkEnd w:id="21"/>
      <w:r>
        <w:t xml:space="preserve"> Patient demography</w:t>
      </w:r>
    </w:p>
    <w:tbl>
      <w:tblPr>
        <w:tblW w:w="0" w:type="auto"/>
        <w:tblLook w:val="0000" w:firstRow="0" w:lastRow="0" w:firstColumn="0" w:lastColumn="0" w:noHBand="0" w:noVBand="0"/>
      </w:tblPr>
      <w:tblGrid>
        <w:gridCol w:w="4261"/>
        <w:gridCol w:w="4261"/>
      </w:tblGrid>
      <w:tr w:rsidR="00D53ED3">
        <w:trPr>
          <w:tblHeader/>
        </w:trPr>
        <w:tc>
          <w:tcPr>
            <w:tcW w:w="4261" w:type="dxa"/>
            <w:tcBorders>
              <w:top w:val="single" w:sz="12" w:space="0" w:color="auto"/>
              <w:bottom w:val="single" w:sz="8" w:space="0" w:color="auto"/>
            </w:tcBorders>
          </w:tcPr>
          <w:p w:rsidR="00D53ED3" w:rsidRDefault="000E6986">
            <w:pPr>
              <w:pStyle w:val="Heading5"/>
              <w:rPr>
                <w:b/>
                <w:bCs/>
                <w:sz w:val="22"/>
                <w:lang w:val="en-GB"/>
              </w:rPr>
            </w:pPr>
            <w:r>
              <w:rPr>
                <w:b/>
                <w:bCs/>
                <w:sz w:val="22"/>
                <w:lang w:val="en-GB"/>
              </w:rPr>
              <w:t>Variable</w:t>
            </w:r>
          </w:p>
        </w:tc>
        <w:tc>
          <w:tcPr>
            <w:tcW w:w="4261" w:type="dxa"/>
            <w:tcBorders>
              <w:top w:val="single" w:sz="12" w:space="0" w:color="auto"/>
              <w:bottom w:val="single" w:sz="8" w:space="0" w:color="auto"/>
            </w:tcBorders>
          </w:tcPr>
          <w:p w:rsidR="00D53ED3" w:rsidRDefault="00D53ED3">
            <w:pPr>
              <w:keepNext/>
              <w:rPr>
                <w:sz w:val="22"/>
              </w:rPr>
            </w:pPr>
          </w:p>
        </w:tc>
      </w:tr>
      <w:tr w:rsidR="00D53ED3">
        <w:tc>
          <w:tcPr>
            <w:tcW w:w="4261" w:type="dxa"/>
            <w:tcBorders>
              <w:top w:val="single" w:sz="8" w:space="0" w:color="auto"/>
            </w:tcBorders>
          </w:tcPr>
          <w:p w:rsidR="00D53ED3" w:rsidRDefault="000E6986">
            <w:pPr>
              <w:keepNext/>
              <w:rPr>
                <w:b/>
                <w:bCs/>
                <w:sz w:val="22"/>
              </w:rPr>
            </w:pPr>
            <w:r>
              <w:rPr>
                <w:b/>
                <w:bCs/>
                <w:sz w:val="22"/>
              </w:rPr>
              <w:t>Age, years</w:t>
            </w:r>
          </w:p>
          <w:p w:rsidR="00D53ED3" w:rsidRDefault="000E6986">
            <w:pPr>
              <w:keepNext/>
              <w:ind w:left="284"/>
              <w:rPr>
                <w:sz w:val="22"/>
              </w:rPr>
            </w:pPr>
            <w:r>
              <w:rPr>
                <w:sz w:val="22"/>
              </w:rPr>
              <w:t>N</w:t>
            </w:r>
          </w:p>
          <w:p w:rsidR="00D53ED3" w:rsidRDefault="000E6986">
            <w:pPr>
              <w:keepNext/>
              <w:ind w:left="284"/>
              <w:rPr>
                <w:sz w:val="22"/>
              </w:rPr>
            </w:pPr>
            <w:r>
              <w:rPr>
                <w:sz w:val="22"/>
              </w:rPr>
              <w:t>Mean (SD)</w:t>
            </w:r>
          </w:p>
          <w:p w:rsidR="00D53ED3" w:rsidRDefault="000E6986">
            <w:pPr>
              <w:keepNext/>
              <w:ind w:left="284"/>
              <w:rPr>
                <w:sz w:val="22"/>
              </w:rPr>
            </w:pPr>
            <w:r>
              <w:rPr>
                <w:sz w:val="22"/>
              </w:rPr>
              <w:t>Median (minimum–maximum)</w:t>
            </w:r>
          </w:p>
        </w:tc>
        <w:tc>
          <w:tcPr>
            <w:tcW w:w="4261" w:type="dxa"/>
            <w:tcBorders>
              <w:top w:val="single" w:sz="8" w:space="0" w:color="auto"/>
            </w:tcBorders>
          </w:tcPr>
          <w:p w:rsidR="00D53ED3" w:rsidRDefault="00D53ED3">
            <w:pPr>
              <w:keepNext/>
              <w:rPr>
                <w:sz w:val="22"/>
              </w:rPr>
            </w:pPr>
          </w:p>
          <w:p w:rsidR="00D53ED3" w:rsidRDefault="000E6986">
            <w:pPr>
              <w:keepNext/>
              <w:rPr>
                <w:sz w:val="22"/>
              </w:rPr>
            </w:pPr>
            <w:r>
              <w:rPr>
                <w:sz w:val="22"/>
              </w:rPr>
              <w:t>180</w:t>
            </w:r>
          </w:p>
          <w:p w:rsidR="00D53ED3" w:rsidRDefault="000E6986">
            <w:pPr>
              <w:keepNext/>
              <w:rPr>
                <w:sz w:val="22"/>
              </w:rPr>
            </w:pPr>
            <w:r>
              <w:rPr>
                <w:sz w:val="22"/>
              </w:rPr>
              <w:t>52.2 (16.6)</w:t>
            </w:r>
          </w:p>
          <w:p w:rsidR="00D53ED3" w:rsidRDefault="000E6986">
            <w:pPr>
              <w:keepNext/>
              <w:rPr>
                <w:sz w:val="22"/>
              </w:rPr>
            </w:pPr>
            <w:r>
              <w:rPr>
                <w:sz w:val="22"/>
              </w:rPr>
              <w:t>55.0 (17–83)</w:t>
            </w:r>
          </w:p>
        </w:tc>
      </w:tr>
      <w:tr w:rsidR="00D53ED3">
        <w:tc>
          <w:tcPr>
            <w:tcW w:w="4261" w:type="dxa"/>
          </w:tcPr>
          <w:p w:rsidR="00D53ED3" w:rsidRDefault="000E6986">
            <w:pPr>
              <w:keepNext/>
              <w:rPr>
                <w:b/>
                <w:bCs/>
                <w:sz w:val="22"/>
              </w:rPr>
            </w:pPr>
            <w:r>
              <w:rPr>
                <w:b/>
                <w:bCs/>
                <w:sz w:val="22"/>
              </w:rPr>
              <w:t>Gender, n (%)</w:t>
            </w:r>
          </w:p>
          <w:p w:rsidR="00D53ED3" w:rsidRDefault="000E6986">
            <w:pPr>
              <w:keepNext/>
              <w:ind w:left="284"/>
              <w:rPr>
                <w:sz w:val="22"/>
              </w:rPr>
            </w:pPr>
            <w:r>
              <w:rPr>
                <w:sz w:val="22"/>
              </w:rPr>
              <w:t>N</w:t>
            </w:r>
          </w:p>
          <w:p w:rsidR="00D53ED3" w:rsidRDefault="000E6986">
            <w:pPr>
              <w:keepNext/>
              <w:ind w:left="284"/>
              <w:rPr>
                <w:sz w:val="22"/>
              </w:rPr>
            </w:pPr>
            <w:r>
              <w:rPr>
                <w:sz w:val="22"/>
              </w:rPr>
              <w:t>Male</w:t>
            </w:r>
          </w:p>
          <w:p w:rsidR="00D53ED3" w:rsidRDefault="000E6986">
            <w:pPr>
              <w:keepNext/>
              <w:ind w:left="284"/>
              <w:rPr>
                <w:sz w:val="22"/>
              </w:rPr>
            </w:pPr>
            <w:r>
              <w:rPr>
                <w:sz w:val="22"/>
              </w:rPr>
              <w:t>Female</w:t>
            </w:r>
          </w:p>
        </w:tc>
        <w:tc>
          <w:tcPr>
            <w:tcW w:w="4261" w:type="dxa"/>
          </w:tcPr>
          <w:p w:rsidR="00D53ED3" w:rsidRDefault="00D53ED3">
            <w:pPr>
              <w:pStyle w:val="Header"/>
              <w:keepNext/>
              <w:tabs>
                <w:tab w:val="clear" w:pos="4153"/>
                <w:tab w:val="clear" w:pos="8306"/>
              </w:tabs>
              <w:rPr>
                <w:sz w:val="22"/>
              </w:rPr>
            </w:pPr>
          </w:p>
          <w:p w:rsidR="00D53ED3" w:rsidRDefault="000E6986">
            <w:pPr>
              <w:pStyle w:val="Header"/>
              <w:keepNext/>
              <w:tabs>
                <w:tab w:val="clear" w:pos="4153"/>
                <w:tab w:val="clear" w:pos="8306"/>
              </w:tabs>
              <w:rPr>
                <w:sz w:val="22"/>
              </w:rPr>
            </w:pPr>
            <w:r>
              <w:rPr>
                <w:sz w:val="22"/>
              </w:rPr>
              <w:t>185</w:t>
            </w:r>
          </w:p>
          <w:p w:rsidR="00D53ED3" w:rsidRDefault="000E6986">
            <w:pPr>
              <w:pStyle w:val="Header"/>
              <w:keepNext/>
              <w:tabs>
                <w:tab w:val="clear" w:pos="4153"/>
                <w:tab w:val="clear" w:pos="8306"/>
              </w:tabs>
              <w:rPr>
                <w:sz w:val="22"/>
              </w:rPr>
            </w:pPr>
            <w:r>
              <w:rPr>
                <w:sz w:val="22"/>
              </w:rPr>
              <w:t>92 (49.7)</w:t>
            </w:r>
          </w:p>
          <w:p w:rsidR="00D53ED3" w:rsidRDefault="000E6986">
            <w:pPr>
              <w:pStyle w:val="Header"/>
              <w:keepNext/>
              <w:tabs>
                <w:tab w:val="clear" w:pos="4153"/>
                <w:tab w:val="clear" w:pos="8306"/>
              </w:tabs>
              <w:rPr>
                <w:sz w:val="22"/>
              </w:rPr>
            </w:pPr>
            <w:r>
              <w:rPr>
                <w:sz w:val="22"/>
              </w:rPr>
              <w:t>93 (50.3)</w:t>
            </w:r>
          </w:p>
        </w:tc>
      </w:tr>
      <w:tr w:rsidR="00D53ED3">
        <w:tc>
          <w:tcPr>
            <w:tcW w:w="4261" w:type="dxa"/>
          </w:tcPr>
          <w:p w:rsidR="00D53ED3" w:rsidRDefault="000E6986">
            <w:pPr>
              <w:pStyle w:val="Heading5"/>
              <w:rPr>
                <w:b/>
                <w:bCs/>
                <w:sz w:val="22"/>
                <w:lang w:val="en-GB"/>
              </w:rPr>
            </w:pPr>
            <w:r>
              <w:rPr>
                <w:b/>
                <w:bCs/>
                <w:sz w:val="22"/>
                <w:vertAlign w:val="superscript"/>
                <w:lang w:val="en-GB"/>
              </w:rPr>
              <w:t>1</w:t>
            </w:r>
            <w:r>
              <w:rPr>
                <w:b/>
                <w:bCs/>
                <w:sz w:val="22"/>
                <w:lang w:val="en-GB"/>
              </w:rPr>
              <w:t>Weight, kg</w:t>
            </w:r>
          </w:p>
          <w:p w:rsidR="00D53ED3" w:rsidRDefault="000E6986">
            <w:pPr>
              <w:keepNext/>
              <w:ind w:left="284"/>
              <w:rPr>
                <w:sz w:val="22"/>
              </w:rPr>
            </w:pPr>
            <w:r>
              <w:rPr>
                <w:sz w:val="22"/>
              </w:rPr>
              <w:t>N</w:t>
            </w:r>
          </w:p>
          <w:p w:rsidR="00D53ED3" w:rsidRDefault="000E6986">
            <w:pPr>
              <w:keepNext/>
              <w:ind w:left="284"/>
              <w:rPr>
                <w:sz w:val="22"/>
              </w:rPr>
            </w:pPr>
            <w:r>
              <w:rPr>
                <w:sz w:val="22"/>
              </w:rPr>
              <w:t>Mean (SD)</w:t>
            </w:r>
          </w:p>
        </w:tc>
        <w:tc>
          <w:tcPr>
            <w:tcW w:w="4261" w:type="dxa"/>
          </w:tcPr>
          <w:p w:rsidR="00D53ED3" w:rsidRDefault="00D53ED3">
            <w:pPr>
              <w:keepNext/>
              <w:rPr>
                <w:sz w:val="22"/>
              </w:rPr>
            </w:pPr>
          </w:p>
          <w:p w:rsidR="00D53ED3" w:rsidRDefault="000E6986">
            <w:pPr>
              <w:keepNext/>
              <w:rPr>
                <w:sz w:val="22"/>
              </w:rPr>
            </w:pPr>
            <w:r>
              <w:rPr>
                <w:sz w:val="22"/>
              </w:rPr>
              <w:t>177</w:t>
            </w:r>
          </w:p>
          <w:p w:rsidR="00D53ED3" w:rsidRDefault="000E6986">
            <w:pPr>
              <w:keepNext/>
              <w:rPr>
                <w:sz w:val="22"/>
              </w:rPr>
            </w:pPr>
            <w:r>
              <w:rPr>
                <w:sz w:val="22"/>
              </w:rPr>
              <w:t>78.4 (16.5)</w:t>
            </w:r>
          </w:p>
        </w:tc>
      </w:tr>
      <w:tr w:rsidR="00D53ED3">
        <w:tc>
          <w:tcPr>
            <w:tcW w:w="4261" w:type="dxa"/>
          </w:tcPr>
          <w:p w:rsidR="00D53ED3" w:rsidRDefault="000E6986">
            <w:pPr>
              <w:rPr>
                <w:b/>
                <w:bCs/>
                <w:sz w:val="22"/>
              </w:rPr>
            </w:pPr>
            <w:r>
              <w:rPr>
                <w:b/>
                <w:bCs/>
                <w:sz w:val="22"/>
              </w:rPr>
              <w:t>Smoking, n (%)</w:t>
            </w:r>
          </w:p>
          <w:p w:rsidR="00D53ED3" w:rsidRDefault="000E6986">
            <w:pPr>
              <w:ind w:left="284"/>
              <w:rPr>
                <w:sz w:val="22"/>
              </w:rPr>
            </w:pPr>
            <w:r>
              <w:rPr>
                <w:sz w:val="22"/>
              </w:rPr>
              <w:t>N</w:t>
            </w:r>
          </w:p>
          <w:p w:rsidR="00D53ED3" w:rsidRDefault="000E6986">
            <w:pPr>
              <w:ind w:left="284"/>
              <w:rPr>
                <w:sz w:val="22"/>
              </w:rPr>
            </w:pPr>
            <w:r>
              <w:rPr>
                <w:sz w:val="22"/>
              </w:rPr>
              <w:t>Smoker</w:t>
            </w:r>
          </w:p>
          <w:p w:rsidR="00D53ED3" w:rsidRDefault="000E6986">
            <w:pPr>
              <w:ind w:left="284"/>
              <w:rPr>
                <w:sz w:val="22"/>
              </w:rPr>
            </w:pPr>
            <w:r>
              <w:rPr>
                <w:sz w:val="22"/>
              </w:rPr>
              <w:t>Non-smoker</w:t>
            </w:r>
          </w:p>
        </w:tc>
        <w:tc>
          <w:tcPr>
            <w:tcW w:w="4261" w:type="dxa"/>
          </w:tcPr>
          <w:p w:rsidR="00D53ED3" w:rsidRDefault="00D53ED3">
            <w:pPr>
              <w:rPr>
                <w:sz w:val="22"/>
              </w:rPr>
            </w:pPr>
          </w:p>
          <w:p w:rsidR="00D53ED3" w:rsidRDefault="000E6986">
            <w:pPr>
              <w:rPr>
                <w:sz w:val="22"/>
              </w:rPr>
            </w:pPr>
            <w:r>
              <w:rPr>
                <w:sz w:val="22"/>
              </w:rPr>
              <w:t>185</w:t>
            </w:r>
          </w:p>
          <w:p w:rsidR="00D53ED3" w:rsidRDefault="000E6986">
            <w:pPr>
              <w:rPr>
                <w:sz w:val="22"/>
              </w:rPr>
            </w:pPr>
            <w:r>
              <w:rPr>
                <w:sz w:val="22"/>
              </w:rPr>
              <w:t>48 (25.9)</w:t>
            </w:r>
          </w:p>
          <w:p w:rsidR="00D53ED3" w:rsidRDefault="000E6986">
            <w:pPr>
              <w:rPr>
                <w:sz w:val="22"/>
              </w:rPr>
            </w:pPr>
            <w:r>
              <w:rPr>
                <w:sz w:val="22"/>
              </w:rPr>
              <w:t>137 (74.1)</w:t>
            </w:r>
          </w:p>
        </w:tc>
      </w:tr>
      <w:tr w:rsidR="00D53ED3">
        <w:tc>
          <w:tcPr>
            <w:tcW w:w="4261" w:type="dxa"/>
          </w:tcPr>
          <w:p w:rsidR="00D53ED3" w:rsidRDefault="000E6986">
            <w:pPr>
              <w:rPr>
                <w:b/>
                <w:bCs/>
                <w:sz w:val="22"/>
              </w:rPr>
            </w:pPr>
            <w:r>
              <w:rPr>
                <w:b/>
                <w:bCs/>
                <w:sz w:val="22"/>
              </w:rPr>
              <w:lastRenderedPageBreak/>
              <w:t>Alcohol consumption, n (%)</w:t>
            </w:r>
          </w:p>
          <w:p w:rsidR="00D53ED3" w:rsidRDefault="000E6986">
            <w:pPr>
              <w:ind w:left="284"/>
              <w:rPr>
                <w:sz w:val="22"/>
              </w:rPr>
            </w:pPr>
            <w:r>
              <w:rPr>
                <w:sz w:val="22"/>
              </w:rPr>
              <w:t>N</w:t>
            </w:r>
          </w:p>
          <w:p w:rsidR="00D53ED3" w:rsidRDefault="000E6986">
            <w:pPr>
              <w:ind w:left="284"/>
              <w:rPr>
                <w:sz w:val="22"/>
              </w:rPr>
            </w:pPr>
            <w:r>
              <w:rPr>
                <w:sz w:val="22"/>
              </w:rPr>
              <w:t>Yes</w:t>
            </w:r>
          </w:p>
          <w:p w:rsidR="00D53ED3" w:rsidRDefault="000E6986">
            <w:pPr>
              <w:ind w:left="284"/>
              <w:rPr>
                <w:sz w:val="22"/>
              </w:rPr>
            </w:pPr>
            <w:r>
              <w:rPr>
                <w:sz w:val="22"/>
              </w:rPr>
              <w:t>No</w:t>
            </w:r>
          </w:p>
        </w:tc>
        <w:tc>
          <w:tcPr>
            <w:tcW w:w="4261" w:type="dxa"/>
          </w:tcPr>
          <w:p w:rsidR="00D53ED3" w:rsidRDefault="00D53ED3">
            <w:pPr>
              <w:rPr>
                <w:sz w:val="22"/>
              </w:rPr>
            </w:pPr>
          </w:p>
          <w:p w:rsidR="00D53ED3" w:rsidRDefault="000E6986">
            <w:pPr>
              <w:rPr>
                <w:sz w:val="22"/>
              </w:rPr>
            </w:pPr>
            <w:r>
              <w:rPr>
                <w:sz w:val="22"/>
              </w:rPr>
              <w:t>185</w:t>
            </w:r>
          </w:p>
          <w:p w:rsidR="00D53ED3" w:rsidRDefault="000E6986">
            <w:pPr>
              <w:rPr>
                <w:sz w:val="22"/>
              </w:rPr>
            </w:pPr>
            <w:r>
              <w:rPr>
                <w:sz w:val="22"/>
              </w:rPr>
              <w:t>52 (28.1)</w:t>
            </w:r>
          </w:p>
          <w:p w:rsidR="00D53ED3" w:rsidRDefault="000E6986">
            <w:pPr>
              <w:rPr>
                <w:sz w:val="22"/>
              </w:rPr>
            </w:pPr>
            <w:r>
              <w:rPr>
                <w:sz w:val="22"/>
              </w:rPr>
              <w:t>133 (71.9)</w:t>
            </w:r>
          </w:p>
        </w:tc>
      </w:tr>
      <w:tr w:rsidR="00D53ED3">
        <w:tc>
          <w:tcPr>
            <w:tcW w:w="4261" w:type="dxa"/>
          </w:tcPr>
          <w:p w:rsidR="00D53ED3" w:rsidRDefault="000E6986">
            <w:pPr>
              <w:rPr>
                <w:b/>
                <w:bCs/>
                <w:sz w:val="22"/>
              </w:rPr>
            </w:pPr>
            <w:r>
              <w:rPr>
                <w:b/>
                <w:bCs/>
                <w:sz w:val="22"/>
              </w:rPr>
              <w:t>NSAID consumption, n (%)</w:t>
            </w:r>
          </w:p>
          <w:p w:rsidR="00D53ED3" w:rsidRDefault="000E6986">
            <w:pPr>
              <w:ind w:left="284"/>
              <w:rPr>
                <w:sz w:val="22"/>
              </w:rPr>
            </w:pPr>
            <w:r>
              <w:rPr>
                <w:sz w:val="22"/>
              </w:rPr>
              <w:t>N</w:t>
            </w:r>
          </w:p>
          <w:p w:rsidR="00D53ED3" w:rsidRDefault="000E6986">
            <w:pPr>
              <w:ind w:left="284"/>
              <w:rPr>
                <w:sz w:val="22"/>
              </w:rPr>
            </w:pPr>
            <w:r>
              <w:rPr>
                <w:sz w:val="22"/>
              </w:rPr>
              <w:t>Yes</w:t>
            </w:r>
          </w:p>
          <w:p w:rsidR="00D53ED3" w:rsidRDefault="000E6986">
            <w:pPr>
              <w:ind w:left="284"/>
              <w:rPr>
                <w:sz w:val="22"/>
              </w:rPr>
            </w:pPr>
            <w:r>
              <w:rPr>
                <w:sz w:val="22"/>
              </w:rPr>
              <w:t>No</w:t>
            </w:r>
          </w:p>
        </w:tc>
        <w:tc>
          <w:tcPr>
            <w:tcW w:w="4261" w:type="dxa"/>
          </w:tcPr>
          <w:p w:rsidR="00D53ED3" w:rsidRDefault="00D53ED3">
            <w:pPr>
              <w:rPr>
                <w:sz w:val="22"/>
              </w:rPr>
            </w:pPr>
          </w:p>
          <w:p w:rsidR="00D53ED3" w:rsidRDefault="000E6986">
            <w:pPr>
              <w:rPr>
                <w:sz w:val="22"/>
              </w:rPr>
            </w:pPr>
            <w:r>
              <w:rPr>
                <w:sz w:val="22"/>
              </w:rPr>
              <w:t>185</w:t>
            </w:r>
          </w:p>
          <w:p w:rsidR="00D53ED3" w:rsidRDefault="000E6986">
            <w:pPr>
              <w:rPr>
                <w:sz w:val="22"/>
              </w:rPr>
            </w:pPr>
            <w:r>
              <w:rPr>
                <w:sz w:val="22"/>
              </w:rPr>
              <w:t>23 (12.4)</w:t>
            </w:r>
          </w:p>
          <w:p w:rsidR="00D53ED3" w:rsidRDefault="000E6986">
            <w:pPr>
              <w:rPr>
                <w:sz w:val="22"/>
              </w:rPr>
            </w:pPr>
            <w:r>
              <w:rPr>
                <w:sz w:val="22"/>
              </w:rPr>
              <w:t>162 (87.6)</w:t>
            </w:r>
          </w:p>
        </w:tc>
      </w:tr>
      <w:tr w:rsidR="00D53ED3">
        <w:tc>
          <w:tcPr>
            <w:tcW w:w="4261" w:type="dxa"/>
          </w:tcPr>
          <w:p w:rsidR="00D53ED3" w:rsidRDefault="000E6986">
            <w:pPr>
              <w:rPr>
                <w:b/>
                <w:bCs/>
                <w:sz w:val="22"/>
              </w:rPr>
            </w:pPr>
            <w:r>
              <w:rPr>
                <w:b/>
                <w:bCs/>
                <w:sz w:val="22"/>
              </w:rPr>
              <w:t>Medical history, n (%)</w:t>
            </w:r>
          </w:p>
          <w:p w:rsidR="00D53ED3" w:rsidRDefault="000E6986">
            <w:pPr>
              <w:ind w:left="284"/>
              <w:rPr>
                <w:sz w:val="22"/>
              </w:rPr>
            </w:pPr>
            <w:r>
              <w:rPr>
                <w:sz w:val="22"/>
              </w:rPr>
              <w:t>N</w:t>
            </w:r>
          </w:p>
          <w:p w:rsidR="00D53ED3" w:rsidRDefault="000E6986">
            <w:pPr>
              <w:ind w:left="284"/>
              <w:rPr>
                <w:sz w:val="22"/>
              </w:rPr>
            </w:pPr>
            <w:r>
              <w:rPr>
                <w:sz w:val="22"/>
              </w:rPr>
              <w:t>History in at least one system</w:t>
            </w:r>
          </w:p>
          <w:p w:rsidR="00D53ED3" w:rsidRDefault="000E6986">
            <w:pPr>
              <w:ind w:left="284"/>
              <w:rPr>
                <w:sz w:val="22"/>
              </w:rPr>
            </w:pPr>
            <w:r>
              <w:rPr>
                <w:sz w:val="22"/>
              </w:rPr>
              <w:t>No medical history</w:t>
            </w:r>
          </w:p>
        </w:tc>
        <w:tc>
          <w:tcPr>
            <w:tcW w:w="4261" w:type="dxa"/>
          </w:tcPr>
          <w:p w:rsidR="00D53ED3" w:rsidRDefault="00D53ED3">
            <w:pPr>
              <w:rPr>
                <w:sz w:val="22"/>
              </w:rPr>
            </w:pPr>
          </w:p>
          <w:p w:rsidR="00D53ED3" w:rsidRDefault="000E6986">
            <w:pPr>
              <w:rPr>
                <w:sz w:val="22"/>
              </w:rPr>
            </w:pPr>
            <w:r>
              <w:rPr>
                <w:sz w:val="22"/>
              </w:rPr>
              <w:t>185</w:t>
            </w:r>
          </w:p>
          <w:p w:rsidR="00D53ED3" w:rsidRDefault="000E6986">
            <w:pPr>
              <w:rPr>
                <w:sz w:val="22"/>
              </w:rPr>
            </w:pPr>
            <w:r>
              <w:rPr>
                <w:sz w:val="22"/>
              </w:rPr>
              <w:t>116 (62.7)</w:t>
            </w:r>
          </w:p>
          <w:p w:rsidR="00D53ED3" w:rsidRDefault="000E6986">
            <w:pPr>
              <w:rPr>
                <w:sz w:val="22"/>
              </w:rPr>
            </w:pPr>
            <w:r>
              <w:rPr>
                <w:sz w:val="22"/>
              </w:rPr>
              <w:t>69 (37.3)</w:t>
            </w:r>
          </w:p>
        </w:tc>
      </w:tr>
      <w:tr w:rsidR="00D53ED3">
        <w:trPr>
          <w:cantSplit/>
        </w:trPr>
        <w:tc>
          <w:tcPr>
            <w:tcW w:w="4261" w:type="dxa"/>
          </w:tcPr>
          <w:p w:rsidR="00D53ED3" w:rsidRDefault="000E6986">
            <w:pPr>
              <w:rPr>
                <w:b/>
                <w:bCs/>
                <w:sz w:val="22"/>
              </w:rPr>
            </w:pPr>
            <w:r>
              <w:rPr>
                <w:b/>
                <w:bCs/>
                <w:sz w:val="22"/>
              </w:rPr>
              <w:lastRenderedPageBreak/>
              <w:t>Gastrointestinal history, n</w:t>
            </w:r>
          </w:p>
          <w:p w:rsidR="00D53ED3" w:rsidRDefault="000E6986">
            <w:pPr>
              <w:ind w:left="284"/>
              <w:rPr>
                <w:sz w:val="22"/>
              </w:rPr>
            </w:pPr>
            <w:r>
              <w:rPr>
                <w:sz w:val="22"/>
              </w:rPr>
              <w:t>N</w:t>
            </w:r>
          </w:p>
          <w:p w:rsidR="00D53ED3" w:rsidRDefault="000E6986">
            <w:pPr>
              <w:ind w:left="284"/>
              <w:rPr>
                <w:sz w:val="22"/>
              </w:rPr>
            </w:pPr>
            <w:r>
              <w:rPr>
                <w:sz w:val="22"/>
              </w:rPr>
              <w:t xml:space="preserve">Reflux </w:t>
            </w:r>
            <w:proofErr w:type="spellStart"/>
            <w:r>
              <w:rPr>
                <w:sz w:val="22"/>
              </w:rPr>
              <w:t>oesophagitis</w:t>
            </w:r>
            <w:proofErr w:type="spellEnd"/>
          </w:p>
          <w:p w:rsidR="00D53ED3" w:rsidRDefault="000E6986">
            <w:pPr>
              <w:ind w:left="284"/>
              <w:rPr>
                <w:sz w:val="22"/>
              </w:rPr>
            </w:pPr>
            <w:r>
              <w:rPr>
                <w:sz w:val="22"/>
              </w:rPr>
              <w:t>Gastritis</w:t>
            </w:r>
          </w:p>
          <w:p w:rsidR="00D53ED3" w:rsidRDefault="000E6986">
            <w:pPr>
              <w:ind w:left="284"/>
              <w:rPr>
                <w:sz w:val="22"/>
              </w:rPr>
            </w:pPr>
            <w:r>
              <w:rPr>
                <w:sz w:val="22"/>
              </w:rPr>
              <w:t xml:space="preserve">GORD without </w:t>
            </w:r>
            <w:proofErr w:type="spellStart"/>
            <w:r>
              <w:rPr>
                <w:sz w:val="22"/>
              </w:rPr>
              <w:t>oesophagitis</w:t>
            </w:r>
            <w:proofErr w:type="spellEnd"/>
          </w:p>
          <w:p w:rsidR="00D53ED3" w:rsidRDefault="000E6986">
            <w:pPr>
              <w:ind w:left="284"/>
              <w:rPr>
                <w:i/>
                <w:iCs/>
                <w:sz w:val="22"/>
              </w:rPr>
            </w:pPr>
            <w:r>
              <w:rPr>
                <w:sz w:val="22"/>
              </w:rPr>
              <w:t xml:space="preserve">Previous eradication of </w:t>
            </w:r>
            <w:r>
              <w:rPr>
                <w:i/>
                <w:iCs/>
                <w:sz w:val="22"/>
              </w:rPr>
              <w:t>H. pylori</w:t>
            </w:r>
          </w:p>
          <w:p w:rsidR="00D53ED3" w:rsidRDefault="000E6986">
            <w:pPr>
              <w:ind w:left="284"/>
              <w:rPr>
                <w:sz w:val="22"/>
              </w:rPr>
            </w:pPr>
            <w:r>
              <w:rPr>
                <w:sz w:val="22"/>
              </w:rPr>
              <w:t>Duodenal ulcer</w:t>
            </w:r>
          </w:p>
          <w:p w:rsidR="00D53ED3" w:rsidRDefault="000E6986">
            <w:pPr>
              <w:ind w:left="284"/>
              <w:rPr>
                <w:b/>
                <w:bCs/>
                <w:sz w:val="22"/>
              </w:rPr>
            </w:pPr>
            <w:r>
              <w:rPr>
                <w:sz w:val="22"/>
              </w:rPr>
              <w:t>Benign gastric ulcer</w:t>
            </w:r>
          </w:p>
        </w:tc>
        <w:tc>
          <w:tcPr>
            <w:tcW w:w="4261" w:type="dxa"/>
          </w:tcPr>
          <w:p w:rsidR="00D53ED3" w:rsidRDefault="00D53ED3">
            <w:pPr>
              <w:rPr>
                <w:sz w:val="22"/>
              </w:rPr>
            </w:pPr>
          </w:p>
          <w:p w:rsidR="00D53ED3" w:rsidRDefault="000E6986">
            <w:pPr>
              <w:rPr>
                <w:sz w:val="22"/>
              </w:rPr>
            </w:pPr>
            <w:r>
              <w:rPr>
                <w:sz w:val="22"/>
              </w:rPr>
              <w:t>185</w:t>
            </w:r>
          </w:p>
          <w:p w:rsidR="00D53ED3" w:rsidRDefault="000E6986">
            <w:pPr>
              <w:rPr>
                <w:sz w:val="22"/>
              </w:rPr>
            </w:pPr>
            <w:r>
              <w:rPr>
                <w:sz w:val="22"/>
              </w:rPr>
              <w:t>54</w:t>
            </w:r>
          </w:p>
          <w:p w:rsidR="00D53ED3" w:rsidRDefault="000E6986">
            <w:pPr>
              <w:rPr>
                <w:sz w:val="22"/>
              </w:rPr>
            </w:pPr>
            <w:r>
              <w:rPr>
                <w:sz w:val="22"/>
              </w:rPr>
              <w:t>50</w:t>
            </w:r>
          </w:p>
          <w:p w:rsidR="00D53ED3" w:rsidRDefault="000E6986">
            <w:pPr>
              <w:pStyle w:val="Header"/>
              <w:tabs>
                <w:tab w:val="clear" w:pos="4153"/>
                <w:tab w:val="clear" w:pos="8306"/>
              </w:tabs>
              <w:rPr>
                <w:sz w:val="22"/>
              </w:rPr>
            </w:pPr>
            <w:r>
              <w:rPr>
                <w:sz w:val="22"/>
              </w:rPr>
              <w:t>45</w:t>
            </w:r>
          </w:p>
          <w:p w:rsidR="00D53ED3" w:rsidRDefault="000E6986">
            <w:pPr>
              <w:rPr>
                <w:sz w:val="22"/>
              </w:rPr>
            </w:pPr>
            <w:r>
              <w:rPr>
                <w:sz w:val="22"/>
              </w:rPr>
              <w:t>30</w:t>
            </w:r>
          </w:p>
          <w:p w:rsidR="00D53ED3" w:rsidRDefault="000E6986">
            <w:pPr>
              <w:rPr>
                <w:sz w:val="22"/>
              </w:rPr>
            </w:pPr>
            <w:r>
              <w:rPr>
                <w:sz w:val="22"/>
              </w:rPr>
              <w:t>9</w:t>
            </w:r>
          </w:p>
          <w:p w:rsidR="00D53ED3" w:rsidRDefault="000E6986">
            <w:pPr>
              <w:rPr>
                <w:sz w:val="22"/>
              </w:rPr>
            </w:pPr>
            <w:r>
              <w:rPr>
                <w:sz w:val="22"/>
              </w:rPr>
              <w:t>1</w:t>
            </w:r>
          </w:p>
        </w:tc>
      </w:tr>
      <w:tr w:rsidR="00D53ED3">
        <w:tc>
          <w:tcPr>
            <w:tcW w:w="4261" w:type="dxa"/>
            <w:tcBorders>
              <w:bottom w:val="single" w:sz="12" w:space="0" w:color="auto"/>
            </w:tcBorders>
          </w:tcPr>
          <w:p w:rsidR="00D53ED3" w:rsidRDefault="000E6986">
            <w:pPr>
              <w:keepNext/>
              <w:rPr>
                <w:b/>
                <w:bCs/>
                <w:sz w:val="22"/>
              </w:rPr>
            </w:pPr>
            <w:r>
              <w:rPr>
                <w:b/>
                <w:bCs/>
                <w:sz w:val="22"/>
              </w:rPr>
              <w:t>Initial diagnosis, n (%)</w:t>
            </w:r>
          </w:p>
          <w:p w:rsidR="00D53ED3" w:rsidRDefault="000E6986">
            <w:pPr>
              <w:keepNext/>
              <w:ind w:left="284"/>
              <w:rPr>
                <w:sz w:val="22"/>
              </w:rPr>
            </w:pPr>
            <w:r>
              <w:rPr>
                <w:sz w:val="22"/>
              </w:rPr>
              <w:t>N</w:t>
            </w:r>
          </w:p>
          <w:p w:rsidR="00D53ED3" w:rsidRDefault="000E6986">
            <w:pPr>
              <w:keepNext/>
              <w:ind w:left="284"/>
              <w:rPr>
                <w:sz w:val="22"/>
              </w:rPr>
            </w:pPr>
            <w:r>
              <w:rPr>
                <w:sz w:val="22"/>
              </w:rPr>
              <w:t xml:space="preserve">GORD with Grade A </w:t>
            </w:r>
            <w:proofErr w:type="spellStart"/>
            <w:r>
              <w:rPr>
                <w:sz w:val="22"/>
              </w:rPr>
              <w:t>oesophagitis</w:t>
            </w:r>
            <w:proofErr w:type="spellEnd"/>
          </w:p>
          <w:p w:rsidR="00D53ED3" w:rsidRDefault="000E6986">
            <w:pPr>
              <w:keepNext/>
              <w:ind w:left="284"/>
              <w:rPr>
                <w:sz w:val="22"/>
              </w:rPr>
            </w:pPr>
            <w:r>
              <w:rPr>
                <w:sz w:val="22"/>
              </w:rPr>
              <w:t xml:space="preserve">GORD with Grade B </w:t>
            </w:r>
            <w:proofErr w:type="spellStart"/>
            <w:r>
              <w:rPr>
                <w:sz w:val="22"/>
              </w:rPr>
              <w:t>oesophagitis</w:t>
            </w:r>
            <w:proofErr w:type="spellEnd"/>
          </w:p>
          <w:p w:rsidR="00D53ED3" w:rsidRDefault="000E6986">
            <w:pPr>
              <w:keepNext/>
              <w:ind w:left="284"/>
              <w:rPr>
                <w:sz w:val="22"/>
              </w:rPr>
            </w:pPr>
            <w:r>
              <w:rPr>
                <w:sz w:val="22"/>
              </w:rPr>
              <w:t xml:space="preserve">GORD with Grade C </w:t>
            </w:r>
            <w:proofErr w:type="spellStart"/>
            <w:r>
              <w:rPr>
                <w:sz w:val="22"/>
              </w:rPr>
              <w:t>oesophagitis</w:t>
            </w:r>
            <w:proofErr w:type="spellEnd"/>
          </w:p>
          <w:p w:rsidR="00D53ED3" w:rsidRDefault="000E6986">
            <w:pPr>
              <w:keepNext/>
              <w:ind w:left="284"/>
              <w:rPr>
                <w:sz w:val="22"/>
              </w:rPr>
            </w:pPr>
            <w:r>
              <w:rPr>
                <w:sz w:val="22"/>
              </w:rPr>
              <w:t xml:space="preserve">Symptomatic GORD without </w:t>
            </w:r>
            <w:proofErr w:type="spellStart"/>
            <w:r>
              <w:rPr>
                <w:sz w:val="22"/>
              </w:rPr>
              <w:t>oesophagitis</w:t>
            </w:r>
            <w:proofErr w:type="spellEnd"/>
          </w:p>
          <w:p w:rsidR="00D53ED3" w:rsidRDefault="000E6986">
            <w:pPr>
              <w:keepNext/>
              <w:ind w:left="284"/>
              <w:rPr>
                <w:sz w:val="22"/>
              </w:rPr>
            </w:pPr>
            <w:r>
              <w:rPr>
                <w:sz w:val="22"/>
              </w:rPr>
              <w:t xml:space="preserve">GORD with Grade D </w:t>
            </w:r>
            <w:proofErr w:type="spellStart"/>
            <w:r>
              <w:rPr>
                <w:sz w:val="22"/>
              </w:rPr>
              <w:t>oesophagitis</w:t>
            </w:r>
            <w:proofErr w:type="spellEnd"/>
          </w:p>
        </w:tc>
        <w:tc>
          <w:tcPr>
            <w:tcW w:w="4261" w:type="dxa"/>
            <w:tcBorders>
              <w:bottom w:val="single" w:sz="12" w:space="0" w:color="auto"/>
            </w:tcBorders>
          </w:tcPr>
          <w:p w:rsidR="00D53ED3" w:rsidRDefault="00D53ED3">
            <w:pPr>
              <w:rPr>
                <w:sz w:val="22"/>
              </w:rPr>
            </w:pPr>
          </w:p>
          <w:p w:rsidR="00D53ED3" w:rsidRDefault="000E6986">
            <w:pPr>
              <w:rPr>
                <w:sz w:val="22"/>
              </w:rPr>
            </w:pPr>
            <w:r>
              <w:rPr>
                <w:sz w:val="22"/>
              </w:rPr>
              <w:t>185</w:t>
            </w:r>
          </w:p>
          <w:p w:rsidR="00D53ED3" w:rsidRDefault="000E6986">
            <w:pPr>
              <w:rPr>
                <w:sz w:val="22"/>
              </w:rPr>
            </w:pPr>
            <w:r>
              <w:rPr>
                <w:sz w:val="22"/>
              </w:rPr>
              <w:t>77 (42.3)</w:t>
            </w:r>
          </w:p>
          <w:p w:rsidR="00D53ED3" w:rsidRDefault="000E6986">
            <w:pPr>
              <w:rPr>
                <w:sz w:val="22"/>
              </w:rPr>
            </w:pPr>
            <w:r>
              <w:rPr>
                <w:sz w:val="22"/>
              </w:rPr>
              <w:t>60 (32.4)</w:t>
            </w:r>
          </w:p>
          <w:p w:rsidR="00D53ED3" w:rsidRDefault="000E6986">
            <w:pPr>
              <w:rPr>
                <w:sz w:val="22"/>
              </w:rPr>
            </w:pPr>
            <w:r>
              <w:rPr>
                <w:sz w:val="22"/>
              </w:rPr>
              <w:t>22 (11.9)</w:t>
            </w:r>
          </w:p>
          <w:p w:rsidR="00D53ED3" w:rsidRDefault="000E6986">
            <w:pPr>
              <w:rPr>
                <w:sz w:val="22"/>
              </w:rPr>
            </w:pPr>
            <w:r>
              <w:rPr>
                <w:sz w:val="22"/>
              </w:rPr>
              <w:t>21 (11.5)</w:t>
            </w:r>
          </w:p>
          <w:p w:rsidR="00D53ED3" w:rsidRDefault="000E6986">
            <w:pPr>
              <w:rPr>
                <w:sz w:val="22"/>
              </w:rPr>
            </w:pPr>
            <w:r>
              <w:rPr>
                <w:sz w:val="22"/>
              </w:rPr>
              <w:t>2 (1.1)</w:t>
            </w:r>
          </w:p>
        </w:tc>
      </w:tr>
    </w:tbl>
    <w:p w:rsidR="00D53ED3" w:rsidRDefault="000E6986">
      <w:pPr>
        <w:pStyle w:val="FootnoteText"/>
      </w:pPr>
      <w:r>
        <w:rPr>
          <w:vertAlign w:val="superscript"/>
        </w:rPr>
        <w:t>1</w:t>
      </w:r>
      <w:r>
        <w:t>one patient had an extreme weight value (216 kg)</w:t>
      </w:r>
    </w:p>
    <w:p w:rsidR="00D53ED3" w:rsidRDefault="000E6986">
      <w:pPr>
        <w:pStyle w:val="FootnoteText"/>
      </w:pPr>
      <w:r>
        <w:t xml:space="preserve">N, total number of patients in data set; SD, standard deviation; n, number of patients; NSAID, </w:t>
      </w:r>
      <w:proofErr w:type="spellStart"/>
      <w:r>
        <w:t>nonsteriodal</w:t>
      </w:r>
      <w:proofErr w:type="spellEnd"/>
      <w:r>
        <w:t xml:space="preserve"> anti-inflammatory drug; GORD, gastro</w:t>
      </w:r>
      <w:r>
        <w:noBreakHyphen/>
        <w:t>oesophageal reflux disease</w:t>
      </w:r>
    </w:p>
    <w:p w:rsidR="00D53ED3" w:rsidRDefault="000E6986">
      <w:pPr>
        <w:pStyle w:val="Caption"/>
      </w:pPr>
      <w:bookmarkStart w:id="22" w:name="_Ref272400993"/>
      <w:r>
        <w:lastRenderedPageBreak/>
        <w:t xml:space="preserve">Table </w:t>
      </w:r>
      <w:r w:rsidR="00102C4D">
        <w:fldChar w:fldCharType="begin"/>
      </w:r>
      <w:r>
        <w:instrText xml:space="preserve"> SEQ Table \* ARABIC </w:instrText>
      </w:r>
      <w:r w:rsidR="00102C4D">
        <w:fldChar w:fldCharType="separate"/>
      </w:r>
      <w:r>
        <w:rPr>
          <w:noProof/>
        </w:rPr>
        <w:t>2</w:t>
      </w:r>
      <w:r w:rsidR="00102C4D">
        <w:fldChar w:fldCharType="end"/>
      </w:r>
      <w:bookmarkEnd w:id="22"/>
      <w:r>
        <w:t xml:space="preserve"> Summary of concomitant medications taken during the study</w:t>
      </w:r>
    </w:p>
    <w:tbl>
      <w:tblPr>
        <w:tblW w:w="5000" w:type="pct"/>
        <w:tblLook w:val="0000" w:firstRow="0" w:lastRow="0" w:firstColumn="0" w:lastColumn="0" w:noHBand="0" w:noVBand="0"/>
      </w:tblPr>
      <w:tblGrid>
        <w:gridCol w:w="5778"/>
        <w:gridCol w:w="2744"/>
      </w:tblGrid>
      <w:tr w:rsidR="00D53ED3">
        <w:trPr>
          <w:tblHeader/>
        </w:trPr>
        <w:tc>
          <w:tcPr>
            <w:tcW w:w="5778" w:type="dxa"/>
            <w:tcBorders>
              <w:top w:val="single" w:sz="12" w:space="0" w:color="auto"/>
            </w:tcBorders>
          </w:tcPr>
          <w:p w:rsidR="00D53ED3" w:rsidRDefault="000E6986">
            <w:pPr>
              <w:keepNext/>
              <w:rPr>
                <w:b/>
                <w:bCs/>
                <w:sz w:val="22"/>
              </w:rPr>
            </w:pPr>
            <w:r>
              <w:rPr>
                <w:b/>
                <w:bCs/>
                <w:sz w:val="22"/>
              </w:rPr>
              <w:t>Concomitant medication</w:t>
            </w:r>
          </w:p>
        </w:tc>
        <w:tc>
          <w:tcPr>
            <w:tcW w:w="2744" w:type="dxa"/>
            <w:tcBorders>
              <w:top w:val="single" w:sz="12" w:space="0" w:color="auto"/>
            </w:tcBorders>
          </w:tcPr>
          <w:p w:rsidR="00D53ED3" w:rsidRDefault="00D53ED3">
            <w:pPr>
              <w:keepNext/>
              <w:jc w:val="center"/>
              <w:rPr>
                <w:b/>
                <w:bCs/>
                <w:sz w:val="22"/>
              </w:rPr>
            </w:pPr>
          </w:p>
        </w:tc>
      </w:tr>
      <w:tr w:rsidR="00D53ED3">
        <w:trPr>
          <w:tblHeader/>
        </w:trPr>
        <w:tc>
          <w:tcPr>
            <w:tcW w:w="5778" w:type="dxa"/>
            <w:tcBorders>
              <w:bottom w:val="single" w:sz="8" w:space="0" w:color="auto"/>
            </w:tcBorders>
          </w:tcPr>
          <w:p w:rsidR="00D53ED3" w:rsidRDefault="000E6986">
            <w:pPr>
              <w:keepNext/>
              <w:rPr>
                <w:rFonts w:ascii="Arial" w:hAnsi="Arial" w:cs="Arial"/>
                <w:b/>
                <w:bCs/>
                <w:sz w:val="22"/>
              </w:rPr>
            </w:pPr>
            <w:r>
              <w:rPr>
                <w:b/>
                <w:bCs/>
                <w:sz w:val="22"/>
              </w:rPr>
              <w:t>ATC drug class</w:t>
            </w:r>
          </w:p>
        </w:tc>
        <w:tc>
          <w:tcPr>
            <w:tcW w:w="2744" w:type="dxa"/>
            <w:tcBorders>
              <w:bottom w:val="single" w:sz="8" w:space="0" w:color="auto"/>
            </w:tcBorders>
          </w:tcPr>
          <w:p w:rsidR="00D53ED3" w:rsidRDefault="000E6986">
            <w:pPr>
              <w:keepNext/>
              <w:jc w:val="center"/>
              <w:rPr>
                <w:sz w:val="22"/>
              </w:rPr>
            </w:pPr>
            <w:r>
              <w:rPr>
                <w:b/>
                <w:bCs/>
                <w:sz w:val="22"/>
              </w:rPr>
              <w:t>Number of patients</w:t>
            </w:r>
          </w:p>
        </w:tc>
      </w:tr>
      <w:tr w:rsidR="00D53ED3">
        <w:trPr>
          <w:cantSplit/>
        </w:trPr>
        <w:tc>
          <w:tcPr>
            <w:tcW w:w="5778" w:type="dxa"/>
            <w:tcBorders>
              <w:top w:val="single" w:sz="8" w:space="0" w:color="auto"/>
            </w:tcBorders>
          </w:tcPr>
          <w:p w:rsidR="00D53ED3" w:rsidRDefault="000E6986">
            <w:pPr>
              <w:pStyle w:val="Heading6"/>
              <w:spacing w:line="480" w:lineRule="auto"/>
              <w:rPr>
                <w:b w:val="0"/>
                <w:bCs w:val="0"/>
                <w:highlight w:val="yellow"/>
              </w:rPr>
            </w:pPr>
            <w:r>
              <w:rPr>
                <w:b w:val="0"/>
                <w:bCs w:val="0"/>
              </w:rPr>
              <w:t>Thyroid hormones</w:t>
            </w:r>
          </w:p>
        </w:tc>
        <w:tc>
          <w:tcPr>
            <w:tcW w:w="2744" w:type="dxa"/>
            <w:tcBorders>
              <w:top w:val="single" w:sz="8" w:space="0" w:color="auto"/>
            </w:tcBorders>
          </w:tcPr>
          <w:p w:rsidR="00D53ED3" w:rsidRDefault="000E6986">
            <w:pPr>
              <w:jc w:val="center"/>
              <w:rPr>
                <w:sz w:val="22"/>
              </w:rPr>
            </w:pPr>
            <w:r>
              <w:rPr>
                <w:sz w:val="22"/>
              </w:rPr>
              <w:t>30</w:t>
            </w:r>
          </w:p>
        </w:tc>
      </w:tr>
      <w:tr w:rsidR="00D53ED3">
        <w:trPr>
          <w:cantSplit/>
        </w:trPr>
        <w:tc>
          <w:tcPr>
            <w:tcW w:w="5778" w:type="dxa"/>
          </w:tcPr>
          <w:p w:rsidR="00D53ED3" w:rsidRDefault="000E6986">
            <w:pPr>
              <w:pStyle w:val="Heading6"/>
              <w:spacing w:line="480" w:lineRule="auto"/>
              <w:rPr>
                <w:b w:val="0"/>
                <w:bCs w:val="0"/>
              </w:rPr>
            </w:pPr>
            <w:r>
              <w:rPr>
                <w:b w:val="0"/>
                <w:bCs w:val="0"/>
              </w:rPr>
              <w:t xml:space="preserve">HMG CoA </w:t>
            </w:r>
            <w:proofErr w:type="spellStart"/>
            <w:r>
              <w:rPr>
                <w:b w:val="0"/>
                <w:bCs w:val="0"/>
              </w:rPr>
              <w:t>reductase</w:t>
            </w:r>
            <w:proofErr w:type="spellEnd"/>
            <w:r>
              <w:rPr>
                <w:b w:val="0"/>
                <w:bCs w:val="0"/>
              </w:rPr>
              <w:t xml:space="preserve"> inhibitors</w:t>
            </w:r>
          </w:p>
        </w:tc>
        <w:tc>
          <w:tcPr>
            <w:tcW w:w="2744" w:type="dxa"/>
          </w:tcPr>
          <w:p w:rsidR="00D53ED3" w:rsidRDefault="000E6986">
            <w:pPr>
              <w:jc w:val="center"/>
              <w:rPr>
                <w:sz w:val="22"/>
              </w:rPr>
            </w:pPr>
            <w:r>
              <w:rPr>
                <w:sz w:val="22"/>
              </w:rPr>
              <w:t>24</w:t>
            </w:r>
          </w:p>
        </w:tc>
      </w:tr>
      <w:tr w:rsidR="00D53ED3">
        <w:trPr>
          <w:cantSplit/>
        </w:trPr>
        <w:tc>
          <w:tcPr>
            <w:tcW w:w="5778" w:type="dxa"/>
          </w:tcPr>
          <w:p w:rsidR="00D53ED3" w:rsidRDefault="000E6986">
            <w:pPr>
              <w:rPr>
                <w:sz w:val="22"/>
              </w:rPr>
            </w:pPr>
            <w:r>
              <w:t>Beta blocking agents, selective</w:t>
            </w:r>
          </w:p>
        </w:tc>
        <w:tc>
          <w:tcPr>
            <w:tcW w:w="2744" w:type="dxa"/>
          </w:tcPr>
          <w:p w:rsidR="00D53ED3" w:rsidRDefault="000E6986">
            <w:pPr>
              <w:jc w:val="center"/>
              <w:rPr>
                <w:sz w:val="22"/>
              </w:rPr>
            </w:pPr>
            <w:r>
              <w:rPr>
                <w:sz w:val="22"/>
              </w:rPr>
              <w:t>19</w:t>
            </w:r>
          </w:p>
        </w:tc>
      </w:tr>
      <w:tr w:rsidR="00D53ED3">
        <w:trPr>
          <w:cantSplit/>
        </w:trPr>
        <w:tc>
          <w:tcPr>
            <w:tcW w:w="5778" w:type="dxa"/>
          </w:tcPr>
          <w:p w:rsidR="00D53ED3" w:rsidRDefault="000E6986">
            <w:pPr>
              <w:rPr>
                <w:sz w:val="22"/>
              </w:rPr>
            </w:pPr>
            <w:proofErr w:type="spellStart"/>
            <w:r>
              <w:t>Dihydropyridine</w:t>
            </w:r>
            <w:proofErr w:type="spellEnd"/>
            <w:r>
              <w:t xml:space="preserve"> derivatives</w:t>
            </w:r>
          </w:p>
        </w:tc>
        <w:tc>
          <w:tcPr>
            <w:tcW w:w="2744" w:type="dxa"/>
          </w:tcPr>
          <w:p w:rsidR="00D53ED3" w:rsidRDefault="000E6986">
            <w:pPr>
              <w:jc w:val="center"/>
              <w:rPr>
                <w:sz w:val="22"/>
              </w:rPr>
            </w:pPr>
            <w:r>
              <w:rPr>
                <w:sz w:val="22"/>
              </w:rPr>
              <w:t>15</w:t>
            </w:r>
          </w:p>
        </w:tc>
      </w:tr>
      <w:tr w:rsidR="00D53ED3">
        <w:trPr>
          <w:cantSplit/>
        </w:trPr>
        <w:tc>
          <w:tcPr>
            <w:tcW w:w="5778" w:type="dxa"/>
          </w:tcPr>
          <w:p w:rsidR="00D53ED3" w:rsidRDefault="000E6986">
            <w:pPr>
              <w:rPr>
                <w:sz w:val="22"/>
              </w:rPr>
            </w:pPr>
            <w:r>
              <w:t>Benzodiazepine derivatives</w:t>
            </w:r>
          </w:p>
        </w:tc>
        <w:tc>
          <w:tcPr>
            <w:tcW w:w="2744" w:type="dxa"/>
          </w:tcPr>
          <w:p w:rsidR="00D53ED3" w:rsidRDefault="000E6986">
            <w:pPr>
              <w:jc w:val="center"/>
              <w:rPr>
                <w:sz w:val="22"/>
              </w:rPr>
            </w:pPr>
            <w:r>
              <w:rPr>
                <w:sz w:val="22"/>
              </w:rPr>
              <w:t>13</w:t>
            </w:r>
          </w:p>
        </w:tc>
      </w:tr>
      <w:tr w:rsidR="00D53ED3">
        <w:trPr>
          <w:cantSplit/>
        </w:trPr>
        <w:tc>
          <w:tcPr>
            <w:tcW w:w="5778" w:type="dxa"/>
          </w:tcPr>
          <w:p w:rsidR="00D53ED3" w:rsidRDefault="000E6986">
            <w:pPr>
              <w:rPr>
                <w:sz w:val="22"/>
              </w:rPr>
            </w:pPr>
            <w:r>
              <w:t>Angiotensin II antagonists, plain</w:t>
            </w:r>
          </w:p>
        </w:tc>
        <w:tc>
          <w:tcPr>
            <w:tcW w:w="2744" w:type="dxa"/>
          </w:tcPr>
          <w:p w:rsidR="00D53ED3" w:rsidRDefault="000E6986">
            <w:pPr>
              <w:jc w:val="center"/>
              <w:rPr>
                <w:sz w:val="22"/>
              </w:rPr>
            </w:pPr>
            <w:r>
              <w:rPr>
                <w:sz w:val="22"/>
              </w:rPr>
              <w:t>11</w:t>
            </w:r>
          </w:p>
        </w:tc>
      </w:tr>
      <w:tr w:rsidR="00D53ED3">
        <w:trPr>
          <w:cantSplit/>
        </w:trPr>
        <w:tc>
          <w:tcPr>
            <w:tcW w:w="5778" w:type="dxa"/>
          </w:tcPr>
          <w:p w:rsidR="00D53ED3" w:rsidRDefault="000E6986">
            <w:pPr>
              <w:rPr>
                <w:sz w:val="22"/>
              </w:rPr>
            </w:pPr>
            <w:r>
              <w:t>Salicylic acid and derivatives</w:t>
            </w:r>
          </w:p>
        </w:tc>
        <w:tc>
          <w:tcPr>
            <w:tcW w:w="2744" w:type="dxa"/>
          </w:tcPr>
          <w:p w:rsidR="00D53ED3" w:rsidRDefault="000E6986">
            <w:pPr>
              <w:jc w:val="center"/>
              <w:rPr>
                <w:sz w:val="22"/>
              </w:rPr>
            </w:pPr>
            <w:r>
              <w:rPr>
                <w:sz w:val="22"/>
              </w:rPr>
              <w:t>11</w:t>
            </w:r>
          </w:p>
        </w:tc>
      </w:tr>
      <w:tr w:rsidR="00D53ED3">
        <w:trPr>
          <w:cantSplit/>
        </w:trPr>
        <w:tc>
          <w:tcPr>
            <w:tcW w:w="5778" w:type="dxa"/>
          </w:tcPr>
          <w:p w:rsidR="00D53ED3" w:rsidRDefault="000E6986">
            <w:pPr>
              <w:rPr>
                <w:b/>
                <w:bCs/>
                <w:sz w:val="22"/>
              </w:rPr>
            </w:pPr>
            <w:r>
              <w:t>ACE inhibitors, plain</w:t>
            </w:r>
          </w:p>
        </w:tc>
        <w:tc>
          <w:tcPr>
            <w:tcW w:w="2744" w:type="dxa"/>
          </w:tcPr>
          <w:p w:rsidR="00D53ED3" w:rsidRDefault="000E6986">
            <w:pPr>
              <w:jc w:val="center"/>
              <w:rPr>
                <w:b/>
                <w:bCs/>
                <w:sz w:val="22"/>
              </w:rPr>
            </w:pPr>
            <w:r>
              <w:rPr>
                <w:sz w:val="22"/>
              </w:rPr>
              <w:t>9</w:t>
            </w:r>
          </w:p>
        </w:tc>
      </w:tr>
      <w:tr w:rsidR="00D53ED3">
        <w:trPr>
          <w:cantSplit/>
        </w:trPr>
        <w:tc>
          <w:tcPr>
            <w:tcW w:w="5778" w:type="dxa"/>
          </w:tcPr>
          <w:p w:rsidR="00D53ED3" w:rsidRDefault="000E6986">
            <w:pPr>
              <w:rPr>
                <w:sz w:val="22"/>
              </w:rPr>
            </w:pPr>
            <w:proofErr w:type="spellStart"/>
            <w:r>
              <w:t>Penicillins</w:t>
            </w:r>
            <w:proofErr w:type="spellEnd"/>
            <w:r>
              <w:t xml:space="preserve"> with extended spectrum</w:t>
            </w:r>
          </w:p>
        </w:tc>
        <w:tc>
          <w:tcPr>
            <w:tcW w:w="2744" w:type="dxa"/>
          </w:tcPr>
          <w:p w:rsidR="00D53ED3" w:rsidRDefault="000E6986">
            <w:pPr>
              <w:jc w:val="center"/>
              <w:rPr>
                <w:sz w:val="22"/>
              </w:rPr>
            </w:pPr>
            <w:r>
              <w:rPr>
                <w:sz w:val="22"/>
              </w:rPr>
              <w:t>9</w:t>
            </w:r>
          </w:p>
        </w:tc>
      </w:tr>
      <w:tr w:rsidR="00D53ED3">
        <w:trPr>
          <w:cantSplit/>
        </w:trPr>
        <w:tc>
          <w:tcPr>
            <w:tcW w:w="5778" w:type="dxa"/>
          </w:tcPr>
          <w:p w:rsidR="00D53ED3" w:rsidRDefault="000E6986">
            <w:pPr>
              <w:rPr>
                <w:sz w:val="22"/>
              </w:rPr>
            </w:pPr>
            <w:r>
              <w:rPr>
                <w:sz w:val="22"/>
              </w:rPr>
              <w:t xml:space="preserve">Synthetic </w:t>
            </w:r>
            <w:proofErr w:type="spellStart"/>
            <w:r>
              <w:rPr>
                <w:sz w:val="22"/>
              </w:rPr>
              <w:t>anticholinergics</w:t>
            </w:r>
            <w:proofErr w:type="spellEnd"/>
            <w:r>
              <w:rPr>
                <w:sz w:val="22"/>
              </w:rPr>
              <w:t>, esters with tertiary amino group</w:t>
            </w:r>
          </w:p>
        </w:tc>
        <w:tc>
          <w:tcPr>
            <w:tcW w:w="2744" w:type="dxa"/>
          </w:tcPr>
          <w:p w:rsidR="00D53ED3" w:rsidRDefault="000E6986">
            <w:pPr>
              <w:jc w:val="center"/>
              <w:rPr>
                <w:sz w:val="22"/>
              </w:rPr>
            </w:pPr>
            <w:r>
              <w:rPr>
                <w:sz w:val="22"/>
              </w:rPr>
              <w:t>9</w:t>
            </w:r>
          </w:p>
        </w:tc>
      </w:tr>
      <w:tr w:rsidR="00D53ED3">
        <w:trPr>
          <w:cantSplit/>
        </w:trPr>
        <w:tc>
          <w:tcPr>
            <w:tcW w:w="5778" w:type="dxa"/>
          </w:tcPr>
          <w:p w:rsidR="00D53ED3" w:rsidRDefault="000E6986">
            <w:pPr>
              <w:rPr>
                <w:sz w:val="22"/>
              </w:rPr>
            </w:pPr>
            <w:r>
              <w:t>ACE inhibitors and diuretics</w:t>
            </w:r>
          </w:p>
        </w:tc>
        <w:tc>
          <w:tcPr>
            <w:tcW w:w="2744" w:type="dxa"/>
          </w:tcPr>
          <w:p w:rsidR="00D53ED3" w:rsidRDefault="000E6986">
            <w:pPr>
              <w:jc w:val="center"/>
              <w:rPr>
                <w:sz w:val="22"/>
              </w:rPr>
            </w:pPr>
            <w:r>
              <w:rPr>
                <w:sz w:val="22"/>
              </w:rPr>
              <w:t>7</w:t>
            </w:r>
          </w:p>
        </w:tc>
      </w:tr>
      <w:tr w:rsidR="00D53ED3">
        <w:trPr>
          <w:cantSplit/>
        </w:trPr>
        <w:tc>
          <w:tcPr>
            <w:tcW w:w="5778" w:type="dxa"/>
          </w:tcPr>
          <w:p w:rsidR="00D53ED3" w:rsidRDefault="000E6986">
            <w:pPr>
              <w:rPr>
                <w:sz w:val="22"/>
              </w:rPr>
            </w:pPr>
            <w:r>
              <w:t>Macrolides</w:t>
            </w:r>
          </w:p>
        </w:tc>
        <w:tc>
          <w:tcPr>
            <w:tcW w:w="2744" w:type="dxa"/>
          </w:tcPr>
          <w:p w:rsidR="00D53ED3" w:rsidRDefault="000E6986">
            <w:pPr>
              <w:jc w:val="center"/>
              <w:rPr>
                <w:sz w:val="22"/>
              </w:rPr>
            </w:pPr>
            <w:r>
              <w:rPr>
                <w:sz w:val="22"/>
              </w:rPr>
              <w:t>7</w:t>
            </w:r>
          </w:p>
        </w:tc>
      </w:tr>
      <w:tr w:rsidR="00D53ED3">
        <w:trPr>
          <w:cantSplit/>
        </w:trPr>
        <w:tc>
          <w:tcPr>
            <w:tcW w:w="5778" w:type="dxa"/>
          </w:tcPr>
          <w:p w:rsidR="00D53ED3" w:rsidRDefault="000E6986">
            <w:pPr>
              <w:rPr>
                <w:sz w:val="22"/>
              </w:rPr>
            </w:pPr>
            <w:proofErr w:type="spellStart"/>
            <w:r>
              <w:t>Propulsives</w:t>
            </w:r>
            <w:proofErr w:type="spellEnd"/>
          </w:p>
        </w:tc>
        <w:tc>
          <w:tcPr>
            <w:tcW w:w="2744" w:type="dxa"/>
          </w:tcPr>
          <w:p w:rsidR="00D53ED3" w:rsidRDefault="000E6986">
            <w:pPr>
              <w:jc w:val="center"/>
              <w:rPr>
                <w:sz w:val="22"/>
              </w:rPr>
            </w:pPr>
            <w:r>
              <w:rPr>
                <w:sz w:val="22"/>
              </w:rPr>
              <w:t>7</w:t>
            </w:r>
          </w:p>
        </w:tc>
      </w:tr>
      <w:tr w:rsidR="00D53ED3">
        <w:trPr>
          <w:cantSplit/>
        </w:trPr>
        <w:tc>
          <w:tcPr>
            <w:tcW w:w="5778" w:type="dxa"/>
          </w:tcPr>
          <w:p w:rsidR="00D53ED3" w:rsidRDefault="000E6986">
            <w:pPr>
              <w:rPr>
                <w:sz w:val="22"/>
              </w:rPr>
            </w:pPr>
            <w:proofErr w:type="spellStart"/>
            <w:r>
              <w:t>Sulfonamides</w:t>
            </w:r>
            <w:proofErr w:type="spellEnd"/>
            <w:r>
              <w:t>, plain</w:t>
            </w:r>
          </w:p>
        </w:tc>
        <w:tc>
          <w:tcPr>
            <w:tcW w:w="2744" w:type="dxa"/>
          </w:tcPr>
          <w:p w:rsidR="00D53ED3" w:rsidRDefault="000E6986">
            <w:pPr>
              <w:jc w:val="center"/>
              <w:rPr>
                <w:sz w:val="22"/>
              </w:rPr>
            </w:pPr>
            <w:r>
              <w:rPr>
                <w:sz w:val="22"/>
              </w:rPr>
              <w:t>6</w:t>
            </w:r>
          </w:p>
        </w:tc>
      </w:tr>
      <w:tr w:rsidR="00D53ED3">
        <w:trPr>
          <w:cantSplit/>
        </w:trPr>
        <w:tc>
          <w:tcPr>
            <w:tcW w:w="5778" w:type="dxa"/>
          </w:tcPr>
          <w:p w:rsidR="00D53ED3" w:rsidRDefault="000E6986">
            <w:pPr>
              <w:rPr>
                <w:sz w:val="22"/>
              </w:rPr>
            </w:pPr>
            <w:r>
              <w:lastRenderedPageBreak/>
              <w:t>Alpha-</w:t>
            </w:r>
            <w:proofErr w:type="spellStart"/>
            <w:r>
              <w:t>adrenoreceptor</w:t>
            </w:r>
            <w:proofErr w:type="spellEnd"/>
            <w:r>
              <w:t xml:space="preserve"> agonists</w:t>
            </w:r>
          </w:p>
        </w:tc>
        <w:tc>
          <w:tcPr>
            <w:tcW w:w="2744" w:type="dxa"/>
          </w:tcPr>
          <w:p w:rsidR="00D53ED3" w:rsidRDefault="000E6986">
            <w:pPr>
              <w:jc w:val="center"/>
              <w:rPr>
                <w:sz w:val="22"/>
              </w:rPr>
            </w:pPr>
            <w:r>
              <w:rPr>
                <w:sz w:val="22"/>
              </w:rPr>
              <w:t>5</w:t>
            </w:r>
          </w:p>
        </w:tc>
      </w:tr>
      <w:tr w:rsidR="00D53ED3">
        <w:trPr>
          <w:cantSplit/>
        </w:trPr>
        <w:tc>
          <w:tcPr>
            <w:tcW w:w="5778" w:type="dxa"/>
          </w:tcPr>
          <w:p w:rsidR="00D53ED3" w:rsidRDefault="000E6986">
            <w:pPr>
              <w:rPr>
                <w:sz w:val="22"/>
              </w:rPr>
            </w:pPr>
            <w:r>
              <w:t>Anti-vertigo preparations</w:t>
            </w:r>
          </w:p>
        </w:tc>
        <w:tc>
          <w:tcPr>
            <w:tcW w:w="2744" w:type="dxa"/>
          </w:tcPr>
          <w:p w:rsidR="00D53ED3" w:rsidRDefault="000E6986">
            <w:pPr>
              <w:jc w:val="center"/>
              <w:rPr>
                <w:sz w:val="22"/>
              </w:rPr>
            </w:pPr>
            <w:r>
              <w:rPr>
                <w:sz w:val="22"/>
              </w:rPr>
              <w:t>5</w:t>
            </w:r>
          </w:p>
        </w:tc>
      </w:tr>
      <w:tr w:rsidR="00D53ED3">
        <w:trPr>
          <w:cantSplit/>
        </w:trPr>
        <w:tc>
          <w:tcPr>
            <w:tcW w:w="5778" w:type="dxa"/>
          </w:tcPr>
          <w:p w:rsidR="00D53ED3" w:rsidRDefault="000E6986">
            <w:pPr>
              <w:rPr>
                <w:sz w:val="22"/>
              </w:rPr>
            </w:pPr>
            <w:r>
              <w:t>Bisphosphonates</w:t>
            </w:r>
          </w:p>
        </w:tc>
        <w:tc>
          <w:tcPr>
            <w:tcW w:w="2744" w:type="dxa"/>
          </w:tcPr>
          <w:p w:rsidR="00D53ED3" w:rsidRDefault="000E6986">
            <w:pPr>
              <w:jc w:val="center"/>
              <w:rPr>
                <w:sz w:val="22"/>
              </w:rPr>
            </w:pPr>
            <w:r>
              <w:rPr>
                <w:sz w:val="22"/>
              </w:rPr>
              <w:t>5</w:t>
            </w:r>
          </w:p>
        </w:tc>
      </w:tr>
      <w:tr w:rsidR="00D53ED3">
        <w:trPr>
          <w:cantSplit/>
        </w:trPr>
        <w:tc>
          <w:tcPr>
            <w:tcW w:w="5778" w:type="dxa"/>
          </w:tcPr>
          <w:p w:rsidR="00D53ED3" w:rsidRDefault="000E6986">
            <w:pPr>
              <w:rPr>
                <w:sz w:val="22"/>
              </w:rPr>
            </w:pPr>
            <w:proofErr w:type="spellStart"/>
            <w:r>
              <w:t>Sulfonamides</w:t>
            </w:r>
            <w:proofErr w:type="spellEnd"/>
            <w:r>
              <w:t>, urea derivatives</w:t>
            </w:r>
          </w:p>
        </w:tc>
        <w:tc>
          <w:tcPr>
            <w:tcW w:w="2744" w:type="dxa"/>
          </w:tcPr>
          <w:p w:rsidR="00D53ED3" w:rsidRDefault="000E6986">
            <w:pPr>
              <w:jc w:val="center"/>
              <w:rPr>
                <w:sz w:val="22"/>
              </w:rPr>
            </w:pPr>
            <w:r>
              <w:rPr>
                <w:sz w:val="22"/>
              </w:rPr>
              <w:t>5</w:t>
            </w:r>
          </w:p>
        </w:tc>
      </w:tr>
      <w:tr w:rsidR="00D53ED3">
        <w:trPr>
          <w:cantSplit/>
        </w:trPr>
        <w:tc>
          <w:tcPr>
            <w:tcW w:w="5778" w:type="dxa"/>
          </w:tcPr>
          <w:p w:rsidR="00D53ED3" w:rsidRDefault="000E6986">
            <w:pPr>
              <w:rPr>
                <w:sz w:val="22"/>
              </w:rPr>
            </w:pPr>
            <w:r>
              <w:t>Vitamin D and analogues</w:t>
            </w:r>
          </w:p>
        </w:tc>
        <w:tc>
          <w:tcPr>
            <w:tcW w:w="2744" w:type="dxa"/>
          </w:tcPr>
          <w:p w:rsidR="00D53ED3" w:rsidRDefault="000E6986">
            <w:pPr>
              <w:jc w:val="center"/>
              <w:rPr>
                <w:sz w:val="22"/>
              </w:rPr>
            </w:pPr>
            <w:r>
              <w:rPr>
                <w:sz w:val="22"/>
              </w:rPr>
              <w:t>5</w:t>
            </w:r>
          </w:p>
        </w:tc>
      </w:tr>
      <w:tr w:rsidR="00D53ED3">
        <w:trPr>
          <w:cantSplit/>
        </w:trPr>
        <w:tc>
          <w:tcPr>
            <w:tcW w:w="5778" w:type="dxa"/>
          </w:tcPr>
          <w:p w:rsidR="00D53ED3" w:rsidRDefault="000E6986">
            <w:pPr>
              <w:rPr>
                <w:sz w:val="22"/>
              </w:rPr>
            </w:pPr>
            <w:r>
              <w:t>Angiotensin II antagonists and diuretics</w:t>
            </w:r>
          </w:p>
        </w:tc>
        <w:tc>
          <w:tcPr>
            <w:tcW w:w="2744" w:type="dxa"/>
          </w:tcPr>
          <w:p w:rsidR="00D53ED3" w:rsidRDefault="000E6986">
            <w:pPr>
              <w:jc w:val="center"/>
              <w:rPr>
                <w:sz w:val="22"/>
              </w:rPr>
            </w:pPr>
            <w:r>
              <w:rPr>
                <w:sz w:val="22"/>
              </w:rPr>
              <w:t>4</w:t>
            </w:r>
          </w:p>
        </w:tc>
      </w:tr>
      <w:tr w:rsidR="00D53ED3">
        <w:trPr>
          <w:cantSplit/>
        </w:trPr>
        <w:tc>
          <w:tcPr>
            <w:tcW w:w="5778" w:type="dxa"/>
          </w:tcPr>
          <w:p w:rsidR="00D53ED3" w:rsidRDefault="000E6986">
            <w:pPr>
              <w:rPr>
                <w:sz w:val="22"/>
              </w:rPr>
            </w:pPr>
            <w:r>
              <w:t>Anti-</w:t>
            </w:r>
            <w:proofErr w:type="spellStart"/>
            <w:r>
              <w:t>infectives</w:t>
            </w:r>
            <w:proofErr w:type="spellEnd"/>
          </w:p>
        </w:tc>
        <w:tc>
          <w:tcPr>
            <w:tcW w:w="2744" w:type="dxa"/>
          </w:tcPr>
          <w:p w:rsidR="00D53ED3" w:rsidRDefault="000E6986">
            <w:pPr>
              <w:jc w:val="center"/>
              <w:rPr>
                <w:sz w:val="22"/>
              </w:rPr>
            </w:pPr>
            <w:r>
              <w:rPr>
                <w:sz w:val="22"/>
              </w:rPr>
              <w:t>4</w:t>
            </w:r>
          </w:p>
        </w:tc>
      </w:tr>
      <w:tr w:rsidR="00D53ED3">
        <w:trPr>
          <w:cantSplit/>
        </w:trPr>
        <w:tc>
          <w:tcPr>
            <w:tcW w:w="5778" w:type="dxa"/>
          </w:tcPr>
          <w:p w:rsidR="00D53ED3" w:rsidRDefault="000E6986">
            <w:pPr>
              <w:rPr>
                <w:sz w:val="22"/>
              </w:rPr>
            </w:pPr>
            <w:r>
              <w:t>Calcium compounds</w:t>
            </w:r>
          </w:p>
        </w:tc>
        <w:tc>
          <w:tcPr>
            <w:tcW w:w="2744" w:type="dxa"/>
          </w:tcPr>
          <w:p w:rsidR="00D53ED3" w:rsidRDefault="000E6986">
            <w:pPr>
              <w:jc w:val="center"/>
              <w:rPr>
                <w:sz w:val="22"/>
              </w:rPr>
            </w:pPr>
            <w:r>
              <w:rPr>
                <w:sz w:val="22"/>
              </w:rPr>
              <w:t>4</w:t>
            </w:r>
          </w:p>
        </w:tc>
      </w:tr>
      <w:tr w:rsidR="00D53ED3">
        <w:trPr>
          <w:cantSplit/>
        </w:trPr>
        <w:tc>
          <w:tcPr>
            <w:tcW w:w="5778" w:type="dxa"/>
          </w:tcPr>
          <w:p w:rsidR="00D53ED3" w:rsidRDefault="000E6986">
            <w:pPr>
              <w:rPr>
                <w:sz w:val="22"/>
              </w:rPr>
            </w:pPr>
            <w:proofErr w:type="spellStart"/>
            <w:r>
              <w:t>Mucolytics</w:t>
            </w:r>
            <w:proofErr w:type="spellEnd"/>
          </w:p>
        </w:tc>
        <w:tc>
          <w:tcPr>
            <w:tcW w:w="2744" w:type="dxa"/>
          </w:tcPr>
          <w:p w:rsidR="00D53ED3" w:rsidRDefault="000E6986">
            <w:pPr>
              <w:jc w:val="center"/>
              <w:rPr>
                <w:sz w:val="22"/>
              </w:rPr>
            </w:pPr>
            <w:r>
              <w:rPr>
                <w:sz w:val="22"/>
              </w:rPr>
              <w:t>4</w:t>
            </w:r>
          </w:p>
        </w:tc>
      </w:tr>
      <w:tr w:rsidR="00D53ED3">
        <w:trPr>
          <w:cantSplit/>
        </w:trPr>
        <w:tc>
          <w:tcPr>
            <w:tcW w:w="5778" w:type="dxa"/>
          </w:tcPr>
          <w:p w:rsidR="00D53ED3" w:rsidRDefault="000E6986">
            <w:pPr>
              <w:rPr>
                <w:sz w:val="22"/>
              </w:rPr>
            </w:pPr>
            <w:r>
              <w:t>Other cardiac preparations</w:t>
            </w:r>
          </w:p>
        </w:tc>
        <w:tc>
          <w:tcPr>
            <w:tcW w:w="2744" w:type="dxa"/>
          </w:tcPr>
          <w:p w:rsidR="00D53ED3" w:rsidRDefault="000E6986">
            <w:pPr>
              <w:jc w:val="center"/>
              <w:rPr>
                <w:sz w:val="22"/>
              </w:rPr>
            </w:pPr>
            <w:r>
              <w:rPr>
                <w:sz w:val="22"/>
              </w:rPr>
              <w:t>4</w:t>
            </w:r>
          </w:p>
        </w:tc>
      </w:tr>
      <w:tr w:rsidR="00D53ED3">
        <w:trPr>
          <w:cantSplit/>
        </w:trPr>
        <w:tc>
          <w:tcPr>
            <w:tcW w:w="5778" w:type="dxa"/>
          </w:tcPr>
          <w:p w:rsidR="00D53ED3" w:rsidRDefault="000E6986">
            <w:pPr>
              <w:rPr>
                <w:sz w:val="22"/>
              </w:rPr>
            </w:pPr>
            <w:r>
              <w:t>Preparations inhibiting uric acid production</w:t>
            </w:r>
          </w:p>
        </w:tc>
        <w:tc>
          <w:tcPr>
            <w:tcW w:w="2744" w:type="dxa"/>
          </w:tcPr>
          <w:p w:rsidR="00D53ED3" w:rsidRDefault="000E6986">
            <w:pPr>
              <w:jc w:val="center"/>
              <w:rPr>
                <w:sz w:val="22"/>
              </w:rPr>
            </w:pPr>
            <w:r>
              <w:rPr>
                <w:sz w:val="22"/>
              </w:rPr>
              <w:t>4</w:t>
            </w:r>
          </w:p>
        </w:tc>
      </w:tr>
      <w:tr w:rsidR="00D53ED3">
        <w:trPr>
          <w:cantSplit/>
        </w:trPr>
        <w:tc>
          <w:tcPr>
            <w:tcW w:w="5778" w:type="dxa"/>
          </w:tcPr>
          <w:p w:rsidR="00D53ED3" w:rsidRDefault="000E6986">
            <w:pPr>
              <w:rPr>
                <w:sz w:val="22"/>
              </w:rPr>
            </w:pPr>
            <w:proofErr w:type="spellStart"/>
            <w:r>
              <w:t>Scilla</w:t>
            </w:r>
            <w:proofErr w:type="spellEnd"/>
            <w:r>
              <w:t xml:space="preserve"> glycosides</w:t>
            </w:r>
          </w:p>
        </w:tc>
        <w:tc>
          <w:tcPr>
            <w:tcW w:w="2744" w:type="dxa"/>
          </w:tcPr>
          <w:p w:rsidR="00D53ED3" w:rsidRDefault="000E6986">
            <w:pPr>
              <w:jc w:val="center"/>
              <w:rPr>
                <w:sz w:val="22"/>
              </w:rPr>
            </w:pPr>
            <w:r>
              <w:rPr>
                <w:sz w:val="22"/>
              </w:rPr>
              <w:t>4</w:t>
            </w:r>
          </w:p>
        </w:tc>
      </w:tr>
      <w:tr w:rsidR="00D53ED3">
        <w:trPr>
          <w:cantSplit/>
        </w:trPr>
        <w:tc>
          <w:tcPr>
            <w:tcW w:w="5778" w:type="dxa"/>
          </w:tcPr>
          <w:p w:rsidR="00D53ED3" w:rsidRDefault="000E6986">
            <w:pPr>
              <w:rPr>
                <w:sz w:val="22"/>
              </w:rPr>
            </w:pPr>
            <w:r>
              <w:t>Selective beta-2-adrenoreceptor agonists</w:t>
            </w:r>
          </w:p>
        </w:tc>
        <w:tc>
          <w:tcPr>
            <w:tcW w:w="2744" w:type="dxa"/>
          </w:tcPr>
          <w:p w:rsidR="00D53ED3" w:rsidRDefault="000E6986">
            <w:pPr>
              <w:jc w:val="center"/>
              <w:rPr>
                <w:sz w:val="22"/>
              </w:rPr>
            </w:pPr>
            <w:r>
              <w:rPr>
                <w:sz w:val="22"/>
              </w:rPr>
              <w:t>4</w:t>
            </w:r>
          </w:p>
        </w:tc>
      </w:tr>
      <w:tr w:rsidR="00D53ED3">
        <w:trPr>
          <w:cantSplit/>
        </w:trPr>
        <w:tc>
          <w:tcPr>
            <w:tcW w:w="5778" w:type="dxa"/>
          </w:tcPr>
          <w:p w:rsidR="00D53ED3" w:rsidRDefault="000E6986">
            <w:pPr>
              <w:rPr>
                <w:sz w:val="22"/>
              </w:rPr>
            </w:pPr>
            <w:r>
              <w:t>Alpha and beta blocking agents</w:t>
            </w:r>
          </w:p>
        </w:tc>
        <w:tc>
          <w:tcPr>
            <w:tcW w:w="2744" w:type="dxa"/>
          </w:tcPr>
          <w:p w:rsidR="00D53ED3" w:rsidRDefault="000E6986">
            <w:pPr>
              <w:jc w:val="center"/>
              <w:rPr>
                <w:sz w:val="22"/>
              </w:rPr>
            </w:pPr>
            <w:r>
              <w:rPr>
                <w:sz w:val="22"/>
              </w:rPr>
              <w:t>3</w:t>
            </w:r>
          </w:p>
        </w:tc>
      </w:tr>
      <w:tr w:rsidR="00D53ED3">
        <w:trPr>
          <w:cantSplit/>
        </w:trPr>
        <w:tc>
          <w:tcPr>
            <w:tcW w:w="5778" w:type="dxa"/>
          </w:tcPr>
          <w:p w:rsidR="00D53ED3" w:rsidRDefault="000E6986">
            <w:pPr>
              <w:rPr>
                <w:sz w:val="22"/>
              </w:rPr>
            </w:pPr>
            <w:proofErr w:type="spellStart"/>
            <w:r>
              <w:lastRenderedPageBreak/>
              <w:t>Analides</w:t>
            </w:r>
            <w:proofErr w:type="spellEnd"/>
          </w:p>
        </w:tc>
        <w:tc>
          <w:tcPr>
            <w:tcW w:w="2744" w:type="dxa"/>
          </w:tcPr>
          <w:p w:rsidR="00D53ED3" w:rsidRDefault="000E6986">
            <w:pPr>
              <w:jc w:val="center"/>
              <w:rPr>
                <w:sz w:val="22"/>
              </w:rPr>
            </w:pPr>
            <w:r>
              <w:rPr>
                <w:sz w:val="22"/>
              </w:rPr>
              <w:t>3</w:t>
            </w:r>
          </w:p>
        </w:tc>
      </w:tr>
      <w:tr w:rsidR="00D53ED3">
        <w:trPr>
          <w:cantSplit/>
        </w:trPr>
        <w:tc>
          <w:tcPr>
            <w:tcW w:w="5778" w:type="dxa"/>
          </w:tcPr>
          <w:p w:rsidR="00D53ED3" w:rsidRDefault="000E6986">
            <w:pPr>
              <w:rPr>
                <w:sz w:val="22"/>
              </w:rPr>
            </w:pPr>
            <w:r>
              <w:t>Anti-</w:t>
            </w:r>
            <w:proofErr w:type="spellStart"/>
            <w:r>
              <w:t>cholinergics</w:t>
            </w:r>
            <w:proofErr w:type="spellEnd"/>
          </w:p>
        </w:tc>
        <w:tc>
          <w:tcPr>
            <w:tcW w:w="2744" w:type="dxa"/>
          </w:tcPr>
          <w:p w:rsidR="00D53ED3" w:rsidRDefault="000E6986">
            <w:pPr>
              <w:jc w:val="center"/>
              <w:rPr>
                <w:sz w:val="22"/>
              </w:rPr>
            </w:pPr>
            <w:r>
              <w:rPr>
                <w:sz w:val="22"/>
              </w:rPr>
              <w:t>3</w:t>
            </w:r>
          </w:p>
        </w:tc>
      </w:tr>
      <w:tr w:rsidR="00D53ED3">
        <w:trPr>
          <w:cantSplit/>
        </w:trPr>
        <w:tc>
          <w:tcPr>
            <w:tcW w:w="5778" w:type="dxa"/>
          </w:tcPr>
          <w:p w:rsidR="00D53ED3" w:rsidRDefault="000E6986">
            <w:pPr>
              <w:rPr>
                <w:sz w:val="22"/>
              </w:rPr>
            </w:pPr>
            <w:r>
              <w:t>Anti-inflammatory preparations, non-steroids for topical use</w:t>
            </w:r>
          </w:p>
        </w:tc>
        <w:tc>
          <w:tcPr>
            <w:tcW w:w="2744" w:type="dxa"/>
          </w:tcPr>
          <w:p w:rsidR="00D53ED3" w:rsidRDefault="000E6986">
            <w:pPr>
              <w:jc w:val="center"/>
              <w:rPr>
                <w:sz w:val="22"/>
              </w:rPr>
            </w:pPr>
            <w:r>
              <w:rPr>
                <w:sz w:val="22"/>
              </w:rPr>
              <w:t>3</w:t>
            </w:r>
          </w:p>
        </w:tc>
      </w:tr>
      <w:tr w:rsidR="00D53ED3">
        <w:trPr>
          <w:cantSplit/>
        </w:trPr>
        <w:tc>
          <w:tcPr>
            <w:tcW w:w="5778" w:type="dxa"/>
          </w:tcPr>
          <w:p w:rsidR="00D53ED3" w:rsidRDefault="000E6986">
            <w:pPr>
              <w:rPr>
                <w:sz w:val="22"/>
              </w:rPr>
            </w:pPr>
            <w:r>
              <w:t>Calcitonin preparations</w:t>
            </w:r>
          </w:p>
        </w:tc>
        <w:tc>
          <w:tcPr>
            <w:tcW w:w="2744" w:type="dxa"/>
          </w:tcPr>
          <w:p w:rsidR="00D53ED3" w:rsidRDefault="000E6986">
            <w:pPr>
              <w:jc w:val="center"/>
              <w:rPr>
                <w:sz w:val="22"/>
              </w:rPr>
            </w:pPr>
            <w:r>
              <w:rPr>
                <w:sz w:val="22"/>
              </w:rPr>
              <w:t>3</w:t>
            </w:r>
          </w:p>
        </w:tc>
      </w:tr>
      <w:tr w:rsidR="00D53ED3">
        <w:trPr>
          <w:cantSplit/>
        </w:trPr>
        <w:tc>
          <w:tcPr>
            <w:tcW w:w="5778" w:type="dxa"/>
          </w:tcPr>
          <w:p w:rsidR="00D53ED3" w:rsidRDefault="000E6986">
            <w:pPr>
              <w:rPr>
                <w:sz w:val="22"/>
              </w:rPr>
            </w:pPr>
            <w:r>
              <w:t>Corticosteroids</w:t>
            </w:r>
          </w:p>
        </w:tc>
        <w:tc>
          <w:tcPr>
            <w:tcW w:w="2744" w:type="dxa"/>
          </w:tcPr>
          <w:p w:rsidR="00D53ED3" w:rsidRDefault="000E6986">
            <w:pPr>
              <w:jc w:val="center"/>
              <w:rPr>
                <w:sz w:val="22"/>
              </w:rPr>
            </w:pPr>
            <w:r>
              <w:rPr>
                <w:sz w:val="22"/>
              </w:rPr>
              <w:t>3</w:t>
            </w:r>
          </w:p>
        </w:tc>
      </w:tr>
      <w:tr w:rsidR="00D53ED3">
        <w:trPr>
          <w:cantSplit/>
        </w:trPr>
        <w:tc>
          <w:tcPr>
            <w:tcW w:w="5778" w:type="dxa"/>
          </w:tcPr>
          <w:p w:rsidR="00D53ED3" w:rsidRDefault="000E6986">
            <w:pPr>
              <w:rPr>
                <w:sz w:val="22"/>
              </w:rPr>
            </w:pPr>
            <w:r>
              <w:t>Platelet aggregation inhibitors excluding heparin</w:t>
            </w:r>
          </w:p>
        </w:tc>
        <w:tc>
          <w:tcPr>
            <w:tcW w:w="2744" w:type="dxa"/>
          </w:tcPr>
          <w:p w:rsidR="00D53ED3" w:rsidRDefault="000E6986">
            <w:pPr>
              <w:jc w:val="center"/>
              <w:rPr>
                <w:sz w:val="22"/>
              </w:rPr>
            </w:pPr>
            <w:r>
              <w:rPr>
                <w:sz w:val="22"/>
              </w:rPr>
              <w:t>3</w:t>
            </w:r>
          </w:p>
        </w:tc>
      </w:tr>
      <w:tr w:rsidR="00D53ED3">
        <w:trPr>
          <w:cantSplit/>
        </w:trPr>
        <w:tc>
          <w:tcPr>
            <w:tcW w:w="5778" w:type="dxa"/>
          </w:tcPr>
          <w:p w:rsidR="00D53ED3" w:rsidRDefault="000E6986">
            <w:pPr>
              <w:rPr>
                <w:sz w:val="22"/>
              </w:rPr>
            </w:pPr>
            <w:r>
              <w:t xml:space="preserve">Second generation </w:t>
            </w:r>
            <w:proofErr w:type="spellStart"/>
            <w:r>
              <w:t>cephalosporins</w:t>
            </w:r>
            <w:proofErr w:type="spellEnd"/>
          </w:p>
        </w:tc>
        <w:tc>
          <w:tcPr>
            <w:tcW w:w="2744" w:type="dxa"/>
          </w:tcPr>
          <w:p w:rsidR="00D53ED3" w:rsidRDefault="000E6986">
            <w:pPr>
              <w:jc w:val="center"/>
              <w:rPr>
                <w:sz w:val="22"/>
              </w:rPr>
            </w:pPr>
            <w:r>
              <w:rPr>
                <w:sz w:val="22"/>
              </w:rPr>
              <w:t>3</w:t>
            </w:r>
          </w:p>
        </w:tc>
      </w:tr>
      <w:tr w:rsidR="00D53ED3">
        <w:trPr>
          <w:cantSplit/>
        </w:trPr>
        <w:tc>
          <w:tcPr>
            <w:tcW w:w="5778" w:type="dxa"/>
          </w:tcPr>
          <w:p w:rsidR="00D53ED3" w:rsidRDefault="000E6986">
            <w:pPr>
              <w:rPr>
                <w:sz w:val="22"/>
              </w:rPr>
            </w:pPr>
            <w:r>
              <w:t xml:space="preserve">Selective </w:t>
            </w:r>
            <w:proofErr w:type="spellStart"/>
            <w:r>
              <w:t>estrogen</w:t>
            </w:r>
            <w:proofErr w:type="spellEnd"/>
            <w:r>
              <w:t xml:space="preserve"> receptor modulators</w:t>
            </w:r>
          </w:p>
        </w:tc>
        <w:tc>
          <w:tcPr>
            <w:tcW w:w="2744" w:type="dxa"/>
          </w:tcPr>
          <w:p w:rsidR="00D53ED3" w:rsidRDefault="000E6986">
            <w:pPr>
              <w:jc w:val="center"/>
              <w:rPr>
                <w:sz w:val="22"/>
              </w:rPr>
            </w:pPr>
            <w:r>
              <w:rPr>
                <w:sz w:val="22"/>
              </w:rPr>
              <w:t>3</w:t>
            </w:r>
          </w:p>
        </w:tc>
      </w:tr>
      <w:tr w:rsidR="00D53ED3">
        <w:trPr>
          <w:cantSplit/>
        </w:trPr>
        <w:tc>
          <w:tcPr>
            <w:tcW w:w="5778" w:type="dxa"/>
            <w:tcBorders>
              <w:bottom w:val="single" w:sz="12" w:space="0" w:color="auto"/>
            </w:tcBorders>
          </w:tcPr>
          <w:p w:rsidR="00D53ED3" w:rsidRDefault="000E6986">
            <w:pPr>
              <w:rPr>
                <w:sz w:val="22"/>
              </w:rPr>
            </w:pPr>
            <w:r>
              <w:t>Selective serotonin re-uptake inhibitors</w:t>
            </w:r>
          </w:p>
        </w:tc>
        <w:tc>
          <w:tcPr>
            <w:tcW w:w="2744" w:type="dxa"/>
            <w:tcBorders>
              <w:bottom w:val="single" w:sz="12" w:space="0" w:color="auto"/>
            </w:tcBorders>
          </w:tcPr>
          <w:p w:rsidR="00D53ED3" w:rsidRDefault="000E6986">
            <w:pPr>
              <w:jc w:val="center"/>
              <w:rPr>
                <w:sz w:val="22"/>
              </w:rPr>
            </w:pPr>
            <w:r>
              <w:rPr>
                <w:sz w:val="22"/>
              </w:rPr>
              <w:t>3</w:t>
            </w:r>
          </w:p>
        </w:tc>
      </w:tr>
    </w:tbl>
    <w:p w:rsidR="00D53ED3" w:rsidRDefault="000E6986">
      <w:pPr>
        <w:pStyle w:val="FootnoteText"/>
      </w:pPr>
      <w:r>
        <w:t>Concomitant medications were coded using the WHODRUG Q1 2008 and further coded to the ATC code; the table shows ATC drug classes in which concomitant medications were reported by at least 3 patients</w:t>
      </w:r>
    </w:p>
    <w:p w:rsidR="00D53ED3" w:rsidRDefault="000E6986">
      <w:pPr>
        <w:pStyle w:val="Heading2"/>
      </w:pPr>
      <w:r>
        <w:lastRenderedPageBreak/>
        <w:t>Figures</w:t>
      </w:r>
    </w:p>
    <w:p w:rsidR="00D53ED3" w:rsidRDefault="000E6986">
      <w:pPr>
        <w:pStyle w:val="Caption"/>
      </w:pPr>
      <w:bookmarkStart w:id="23" w:name="_Ref261865915"/>
      <w:r>
        <w:t xml:space="preserve">Figure </w:t>
      </w:r>
      <w:r w:rsidR="00102C4D">
        <w:fldChar w:fldCharType="begin"/>
      </w:r>
      <w:r>
        <w:instrText xml:space="preserve"> SEQ Figure \* ARABIC </w:instrText>
      </w:r>
      <w:r w:rsidR="00102C4D">
        <w:fldChar w:fldCharType="separate"/>
      </w:r>
      <w:r>
        <w:rPr>
          <w:noProof/>
        </w:rPr>
        <w:t>1</w:t>
      </w:r>
      <w:r w:rsidR="00102C4D">
        <w:fldChar w:fldCharType="end"/>
      </w:r>
      <w:bookmarkEnd w:id="23"/>
      <w:r>
        <w:t xml:space="preserve"> Patient disposition</w:t>
      </w:r>
    </w:p>
    <w:p w:rsidR="00D53ED3" w:rsidRDefault="00A90672">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415.3pt;height:369.4pt;z-index:251657728">
            <v:imagedata r:id="rId9" o:title=""/>
            <w10:wrap type="topAndBottom"/>
          </v:shape>
          <o:OLEObject Type="Embed" ProgID="Word.Document.8" ShapeID="_x0000_s1029" DrawAspect="Content" ObjectID="_1444122885" r:id="rId10">
            <o:FieldCodes>\s</o:FieldCodes>
          </o:OLEObject>
        </w:pict>
      </w:r>
    </w:p>
    <w:p w:rsidR="00D53ED3" w:rsidRDefault="000E6986">
      <w:pPr>
        <w:pStyle w:val="Caption"/>
        <w:pageBreakBefore/>
      </w:pPr>
      <w:bookmarkStart w:id="24" w:name="_Ref261956120"/>
      <w:r>
        <w:lastRenderedPageBreak/>
        <w:t xml:space="preserve">Figure </w:t>
      </w:r>
      <w:r w:rsidR="00102C4D">
        <w:fldChar w:fldCharType="begin"/>
      </w:r>
      <w:r>
        <w:instrText xml:space="preserve"> SEQ Figure \* ARABIC </w:instrText>
      </w:r>
      <w:r w:rsidR="00102C4D">
        <w:fldChar w:fldCharType="separate"/>
      </w:r>
      <w:r>
        <w:rPr>
          <w:noProof/>
        </w:rPr>
        <w:t>2</w:t>
      </w:r>
      <w:r w:rsidR="00102C4D">
        <w:fldChar w:fldCharType="end"/>
      </w:r>
      <w:bookmarkEnd w:id="24"/>
      <w:r>
        <w:t xml:space="preserve"> </w:t>
      </w:r>
      <w:proofErr w:type="spellStart"/>
      <w:r>
        <w:t>Likert</w:t>
      </w:r>
      <w:proofErr w:type="spellEnd"/>
      <w:r>
        <w:t xml:space="preserve"> scale scores during the study–all patients</w:t>
      </w:r>
    </w:p>
    <w:p w:rsidR="00D53ED3" w:rsidRDefault="000E6986">
      <w:pPr>
        <w:spacing w:after="0"/>
      </w:pPr>
      <w:r>
        <w:rPr>
          <w:noProof/>
          <w:lang w:val="en-US" w:eastAsia="zh-CN"/>
        </w:rPr>
        <w:drawing>
          <wp:inline distT="0" distB="0" distL="0" distR="0">
            <wp:extent cx="3238500" cy="20669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238500" cy="2066925"/>
                    </a:xfrm>
                    <a:prstGeom prst="rect">
                      <a:avLst/>
                    </a:prstGeom>
                    <a:noFill/>
                    <a:ln w="9525">
                      <a:noFill/>
                      <a:miter lim="800000"/>
                      <a:headEnd/>
                      <a:tailEnd/>
                    </a:ln>
                  </pic:spPr>
                </pic:pic>
              </a:graphicData>
            </a:graphic>
          </wp:inline>
        </w:drawing>
      </w:r>
      <w:r>
        <w:rPr>
          <w:noProof/>
          <w:lang w:val="en-US" w:eastAsia="zh-CN"/>
        </w:rPr>
        <w:drawing>
          <wp:inline distT="0" distB="0" distL="0" distR="0">
            <wp:extent cx="3238500" cy="20669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238500" cy="2066925"/>
                    </a:xfrm>
                    <a:prstGeom prst="rect">
                      <a:avLst/>
                    </a:prstGeom>
                    <a:noFill/>
                    <a:ln w="9525">
                      <a:noFill/>
                      <a:miter lim="800000"/>
                      <a:headEnd/>
                      <a:tailEnd/>
                    </a:ln>
                  </pic:spPr>
                </pic:pic>
              </a:graphicData>
            </a:graphic>
          </wp:inline>
        </w:drawing>
      </w:r>
      <w:r>
        <w:rPr>
          <w:noProof/>
          <w:lang w:val="en-US" w:eastAsia="zh-CN"/>
        </w:rPr>
        <w:lastRenderedPageBreak/>
        <w:drawing>
          <wp:inline distT="0" distB="0" distL="0" distR="0">
            <wp:extent cx="3238500" cy="20669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3238500" cy="2066925"/>
                    </a:xfrm>
                    <a:prstGeom prst="rect">
                      <a:avLst/>
                    </a:prstGeom>
                    <a:noFill/>
                    <a:ln w="9525">
                      <a:noFill/>
                      <a:miter lim="800000"/>
                      <a:headEnd/>
                      <a:tailEnd/>
                    </a:ln>
                  </pic:spPr>
                </pic:pic>
              </a:graphicData>
            </a:graphic>
          </wp:inline>
        </w:drawing>
      </w:r>
      <w:r>
        <w:rPr>
          <w:noProof/>
          <w:lang w:val="en-US" w:eastAsia="zh-CN"/>
        </w:rPr>
        <w:drawing>
          <wp:inline distT="0" distB="0" distL="0" distR="0">
            <wp:extent cx="3238500" cy="206692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238500" cy="2066925"/>
                    </a:xfrm>
                    <a:prstGeom prst="rect">
                      <a:avLst/>
                    </a:prstGeom>
                    <a:noFill/>
                    <a:ln w="9525">
                      <a:noFill/>
                      <a:miter lim="800000"/>
                      <a:headEnd/>
                      <a:tailEnd/>
                    </a:ln>
                  </pic:spPr>
                </pic:pic>
              </a:graphicData>
            </a:graphic>
          </wp:inline>
        </w:drawing>
      </w:r>
    </w:p>
    <w:p w:rsidR="00D53ED3" w:rsidRDefault="000E6986">
      <w:pPr>
        <w:pStyle w:val="Caption"/>
        <w:keepNext w:val="0"/>
        <w:pageBreakBefore/>
        <w:spacing w:line="240" w:lineRule="auto"/>
      </w:pPr>
      <w:bookmarkStart w:id="25" w:name="_Ref261956122"/>
      <w:r>
        <w:lastRenderedPageBreak/>
        <w:t xml:space="preserve">Figure </w:t>
      </w:r>
      <w:r w:rsidR="00102C4D">
        <w:fldChar w:fldCharType="begin"/>
      </w:r>
      <w:r>
        <w:instrText xml:space="preserve"> SEQ Figure \* ARABIC </w:instrText>
      </w:r>
      <w:r w:rsidR="00102C4D">
        <w:fldChar w:fldCharType="separate"/>
      </w:r>
      <w:r>
        <w:rPr>
          <w:noProof/>
        </w:rPr>
        <w:t>3</w:t>
      </w:r>
      <w:r w:rsidR="00102C4D">
        <w:fldChar w:fldCharType="end"/>
      </w:r>
      <w:bookmarkEnd w:id="25"/>
      <w:r>
        <w:t xml:space="preserve"> </w:t>
      </w:r>
      <w:proofErr w:type="spellStart"/>
      <w:r>
        <w:t>Likert</w:t>
      </w:r>
      <w:proofErr w:type="spellEnd"/>
      <w:r>
        <w:t xml:space="preserve"> scale scores during the study–patients with non-erosive GORD</w:t>
      </w:r>
    </w:p>
    <w:p w:rsidR="00D53ED3" w:rsidRDefault="000E6986">
      <w:r>
        <w:rPr>
          <w:noProof/>
          <w:lang w:val="en-US" w:eastAsia="zh-CN"/>
        </w:rPr>
        <w:drawing>
          <wp:inline distT="0" distB="0" distL="0" distR="0">
            <wp:extent cx="3238500" cy="206692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3238500" cy="2066925"/>
                    </a:xfrm>
                    <a:prstGeom prst="rect">
                      <a:avLst/>
                    </a:prstGeom>
                    <a:noFill/>
                    <a:ln w="9525">
                      <a:noFill/>
                      <a:miter lim="800000"/>
                      <a:headEnd/>
                      <a:tailEnd/>
                    </a:ln>
                  </pic:spPr>
                </pic:pic>
              </a:graphicData>
            </a:graphic>
          </wp:inline>
        </w:drawing>
      </w:r>
      <w:r>
        <w:rPr>
          <w:noProof/>
          <w:lang w:val="en-US" w:eastAsia="zh-CN"/>
        </w:rPr>
        <w:drawing>
          <wp:inline distT="0" distB="0" distL="0" distR="0">
            <wp:extent cx="3238500" cy="206692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3238500" cy="2066925"/>
                    </a:xfrm>
                    <a:prstGeom prst="rect">
                      <a:avLst/>
                    </a:prstGeom>
                    <a:noFill/>
                    <a:ln w="9525">
                      <a:noFill/>
                      <a:miter lim="800000"/>
                      <a:headEnd/>
                      <a:tailEnd/>
                    </a:ln>
                  </pic:spPr>
                </pic:pic>
              </a:graphicData>
            </a:graphic>
          </wp:inline>
        </w:drawing>
      </w:r>
      <w:r>
        <w:rPr>
          <w:noProof/>
          <w:lang w:val="en-US" w:eastAsia="zh-CN"/>
        </w:rPr>
        <w:lastRenderedPageBreak/>
        <w:drawing>
          <wp:inline distT="0" distB="0" distL="0" distR="0">
            <wp:extent cx="3238500" cy="206692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3238500" cy="2066925"/>
                    </a:xfrm>
                    <a:prstGeom prst="rect">
                      <a:avLst/>
                    </a:prstGeom>
                    <a:noFill/>
                    <a:ln w="9525">
                      <a:noFill/>
                      <a:miter lim="800000"/>
                      <a:headEnd/>
                      <a:tailEnd/>
                    </a:ln>
                  </pic:spPr>
                </pic:pic>
              </a:graphicData>
            </a:graphic>
          </wp:inline>
        </w:drawing>
      </w:r>
      <w:r>
        <w:rPr>
          <w:noProof/>
          <w:lang w:val="en-US" w:eastAsia="zh-CN"/>
        </w:rPr>
        <w:drawing>
          <wp:inline distT="0" distB="0" distL="0" distR="0">
            <wp:extent cx="3238500" cy="206692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3238500" cy="2066925"/>
                    </a:xfrm>
                    <a:prstGeom prst="rect">
                      <a:avLst/>
                    </a:prstGeom>
                    <a:noFill/>
                    <a:ln w="9525">
                      <a:noFill/>
                      <a:miter lim="800000"/>
                      <a:headEnd/>
                      <a:tailEnd/>
                    </a:ln>
                  </pic:spPr>
                </pic:pic>
              </a:graphicData>
            </a:graphic>
          </wp:inline>
        </w:drawing>
      </w:r>
    </w:p>
    <w:p w:rsidR="00D53ED3" w:rsidRDefault="000E6986">
      <w:pPr>
        <w:pStyle w:val="Caption"/>
        <w:rPr>
          <w:b w:val="0"/>
          <w:bCs/>
          <w:i w:val="0"/>
          <w:iCs/>
        </w:rPr>
      </w:pPr>
      <w:bookmarkStart w:id="26" w:name="_Ref298149646"/>
      <w:bookmarkStart w:id="27" w:name="_Ref262035059"/>
      <w:bookmarkStart w:id="28" w:name="_Ref277072784"/>
      <w:r>
        <w:lastRenderedPageBreak/>
        <w:t xml:space="preserve">Figure </w:t>
      </w:r>
      <w:r w:rsidR="00102C4D">
        <w:fldChar w:fldCharType="begin"/>
      </w:r>
      <w:r>
        <w:instrText xml:space="preserve"> SEQ Figure \* ARABIC </w:instrText>
      </w:r>
      <w:r w:rsidR="00102C4D">
        <w:fldChar w:fldCharType="separate"/>
      </w:r>
      <w:r>
        <w:rPr>
          <w:noProof/>
        </w:rPr>
        <w:t>4</w:t>
      </w:r>
      <w:r w:rsidR="00102C4D">
        <w:fldChar w:fldCharType="end"/>
      </w:r>
      <w:bookmarkEnd w:id="26"/>
      <w:r>
        <w:t xml:space="preserve"> </w:t>
      </w:r>
      <w:bookmarkEnd w:id="27"/>
      <w:bookmarkEnd w:id="28"/>
      <w:r>
        <w:t xml:space="preserve">Heartburn symptoms </w:t>
      </w:r>
      <w:r>
        <w:rPr>
          <w:noProof/>
          <w:lang w:val="en-US" w:eastAsia="zh-CN"/>
        </w:rPr>
        <w:drawing>
          <wp:inline distT="0" distB="0" distL="0" distR="0">
            <wp:extent cx="3314700" cy="20193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3314700" cy="2019300"/>
                    </a:xfrm>
                    <a:prstGeom prst="rect">
                      <a:avLst/>
                    </a:prstGeom>
                    <a:noFill/>
                    <a:ln w="9525">
                      <a:noFill/>
                      <a:miter lim="800000"/>
                      <a:headEnd/>
                      <a:tailEnd/>
                    </a:ln>
                  </pic:spPr>
                </pic:pic>
              </a:graphicData>
            </a:graphic>
          </wp:inline>
        </w:drawing>
      </w:r>
      <w:r>
        <w:rPr>
          <w:bCs/>
          <w:iCs/>
          <w:noProof/>
          <w:lang w:val="en-US" w:eastAsia="zh-CN"/>
        </w:rPr>
        <w:drawing>
          <wp:inline distT="0" distB="0" distL="0" distR="0">
            <wp:extent cx="3990975" cy="20193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3990975" cy="2019300"/>
                    </a:xfrm>
                    <a:prstGeom prst="rect">
                      <a:avLst/>
                    </a:prstGeom>
                    <a:noFill/>
                    <a:ln w="9525">
                      <a:noFill/>
                      <a:miter lim="800000"/>
                      <a:headEnd/>
                      <a:tailEnd/>
                    </a:ln>
                  </pic:spPr>
                </pic:pic>
              </a:graphicData>
            </a:graphic>
          </wp:inline>
        </w:drawing>
      </w:r>
    </w:p>
    <w:p w:rsidR="00D53ED3" w:rsidRDefault="000E6986">
      <w:pPr>
        <w:keepNext/>
        <w:sectPr w:rsidR="00D53ED3">
          <w:headerReference w:type="default" r:id="rId21"/>
          <w:pgSz w:w="11906" w:h="16838"/>
          <w:pgMar w:top="1440" w:right="1800" w:bottom="1440" w:left="1800" w:header="720" w:footer="720" w:gutter="0"/>
          <w:cols w:space="720"/>
        </w:sectPr>
      </w:pPr>
      <w:r>
        <w:rPr>
          <w:noProof/>
          <w:lang w:val="en-US" w:eastAsia="zh-CN"/>
        </w:rPr>
        <w:lastRenderedPageBreak/>
        <w:drawing>
          <wp:inline distT="0" distB="0" distL="0" distR="0">
            <wp:extent cx="3457575" cy="20193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3457575" cy="2019300"/>
                    </a:xfrm>
                    <a:prstGeom prst="rect">
                      <a:avLst/>
                    </a:prstGeom>
                    <a:noFill/>
                    <a:ln w="9525">
                      <a:noFill/>
                      <a:miter lim="800000"/>
                      <a:headEnd/>
                      <a:tailEnd/>
                    </a:ln>
                  </pic:spPr>
                </pic:pic>
              </a:graphicData>
            </a:graphic>
          </wp:inline>
        </w:drawing>
      </w:r>
      <w:r>
        <w:rPr>
          <w:noProof/>
          <w:lang w:val="en-US" w:eastAsia="zh-CN"/>
        </w:rPr>
        <w:drawing>
          <wp:inline distT="0" distB="0" distL="0" distR="0">
            <wp:extent cx="3886200" cy="20193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3886200" cy="2019300"/>
                    </a:xfrm>
                    <a:prstGeom prst="rect">
                      <a:avLst/>
                    </a:prstGeom>
                    <a:noFill/>
                    <a:ln w="9525">
                      <a:noFill/>
                      <a:miter lim="800000"/>
                      <a:headEnd/>
                      <a:tailEnd/>
                    </a:ln>
                  </pic:spPr>
                </pic:pic>
              </a:graphicData>
            </a:graphic>
          </wp:inline>
        </w:drawing>
      </w:r>
    </w:p>
    <w:p w:rsidR="00D53ED3" w:rsidRDefault="000E6986">
      <w:pPr>
        <w:pStyle w:val="Heading2"/>
      </w:pPr>
      <w:r>
        <w:lastRenderedPageBreak/>
        <w:t>Figure legends</w:t>
      </w:r>
    </w:p>
    <w:p w:rsidR="00D53ED3" w:rsidRDefault="000E6986">
      <w:pPr>
        <w:pStyle w:val="Caption"/>
      </w:pPr>
      <w:r>
        <w:t>Figure 1 Patient disposition</w:t>
      </w:r>
    </w:p>
    <w:p w:rsidR="00D53ED3" w:rsidRDefault="000E6986">
      <w:pPr>
        <w:pStyle w:val="Caption"/>
      </w:pPr>
      <w:r>
        <w:t xml:space="preserve">Figure 2 </w:t>
      </w:r>
      <w:proofErr w:type="spellStart"/>
      <w:r>
        <w:t>Likert</w:t>
      </w:r>
      <w:proofErr w:type="spellEnd"/>
      <w:r>
        <w:t xml:space="preserve"> scale scores during the study–all patients</w:t>
      </w:r>
    </w:p>
    <w:p w:rsidR="00D53ED3" w:rsidRDefault="000E6986">
      <w:pPr>
        <w:pStyle w:val="FootnoteText"/>
      </w:pPr>
      <w:proofErr w:type="spellStart"/>
      <w:r>
        <w:t>Likert</w:t>
      </w:r>
      <w:proofErr w:type="spellEnd"/>
      <w:r>
        <w:t xml:space="preserve"> scale scores: 1, no problem; 2, mild problem; 3, moderately severe problem; 4, severe problem; 5, very severe problem. Assessments were done before treatment and 4 weeks, 8 weeks and 4 months after starting treatment</w:t>
      </w:r>
    </w:p>
    <w:p w:rsidR="00D53ED3" w:rsidRDefault="000E6986">
      <w:pPr>
        <w:pStyle w:val="FootnoteText"/>
      </w:pPr>
      <w:r>
        <w:t>Start, N</w:t>
      </w:r>
      <w:r>
        <w:sym w:font="Symbol" w:char="F03D"/>
      </w:r>
      <w:r>
        <w:t>185 for heartburn, 184 for retrosternal pain and regurgitation, 183 for dysphagia; 4 weeks, N</w:t>
      </w:r>
      <w:r>
        <w:sym w:font="Symbol" w:char="F03D"/>
      </w:r>
      <w:r>
        <w:t>171; 8 weeks, N</w:t>
      </w:r>
      <w:r>
        <w:sym w:font="Symbol" w:char="F03D"/>
      </w:r>
      <w:r>
        <w:t>156; 4 months, N</w:t>
      </w:r>
      <w:r>
        <w:sym w:font="Symbol" w:char="F03D"/>
      </w:r>
      <w:r>
        <w:t>145 for heartburn and 146 for retrosternal pain, regurgitation and dysphagia</w:t>
      </w:r>
    </w:p>
    <w:p w:rsidR="00D53ED3" w:rsidRDefault="000E6986">
      <w:pPr>
        <w:pStyle w:val="Caption"/>
        <w:keepNext w:val="0"/>
        <w:spacing w:line="240" w:lineRule="auto"/>
      </w:pPr>
      <w:r>
        <w:t xml:space="preserve">Figure 3 </w:t>
      </w:r>
      <w:proofErr w:type="spellStart"/>
      <w:r>
        <w:t>Likert</w:t>
      </w:r>
      <w:proofErr w:type="spellEnd"/>
      <w:r>
        <w:t xml:space="preserve"> scale scores during the study–patients with non-erosive GORD</w:t>
      </w:r>
    </w:p>
    <w:p w:rsidR="00D53ED3" w:rsidRDefault="000E6986">
      <w:pPr>
        <w:pStyle w:val="FootnoteText"/>
      </w:pPr>
      <w:r>
        <w:t>NA, not available</w:t>
      </w:r>
    </w:p>
    <w:p w:rsidR="00D53ED3" w:rsidRDefault="000E6986">
      <w:pPr>
        <w:pStyle w:val="FootnoteText"/>
      </w:pPr>
      <w:proofErr w:type="spellStart"/>
      <w:r>
        <w:t>Likert</w:t>
      </w:r>
      <w:proofErr w:type="spellEnd"/>
      <w:r>
        <w:t xml:space="preserve"> scale scores: 1, no problem; 2, mild problem; 3, moderately severe problem; 4, severe problem; 5, very severe problem. Assessments were done before treatment and 4 weeks, 8 weeks and 4 months after starting treatment</w:t>
      </w:r>
    </w:p>
    <w:p w:rsidR="00D53ED3" w:rsidRDefault="000E6986">
      <w:pPr>
        <w:pStyle w:val="FootnoteText"/>
      </w:pPr>
      <w:r>
        <w:t>Start, N</w:t>
      </w:r>
      <w:r>
        <w:sym w:font="Symbol" w:char="F03D"/>
      </w:r>
      <w:r>
        <w:t>21; 4 weeks, N</w:t>
      </w:r>
      <w:r>
        <w:sym w:font="Symbol" w:char="F03D"/>
      </w:r>
      <w:r>
        <w:t>20; 8 weeks, N</w:t>
      </w:r>
      <w:r>
        <w:sym w:font="Symbol" w:char="F03D"/>
      </w:r>
      <w:r>
        <w:t>12; 4 months, N</w:t>
      </w:r>
      <w:r>
        <w:sym w:font="Symbol" w:char="F03D"/>
      </w:r>
      <w:r>
        <w:t>12</w:t>
      </w:r>
    </w:p>
    <w:p w:rsidR="00D53ED3" w:rsidRDefault="000E6986">
      <w:pPr>
        <w:pStyle w:val="Caption"/>
      </w:pPr>
      <w:r>
        <w:t>Figure 4 Heartburn symptoms</w:t>
      </w:r>
    </w:p>
    <w:p w:rsidR="00D53ED3" w:rsidRDefault="000E6986">
      <w:pPr>
        <w:pStyle w:val="FootnoteText"/>
      </w:pPr>
      <w:proofErr w:type="gramStart"/>
      <w:r>
        <w:t>h</w:t>
      </w:r>
      <w:proofErr w:type="gramEnd"/>
      <w:r>
        <w:t>, hour; d, day; m, months</w:t>
      </w:r>
    </w:p>
    <w:p w:rsidR="00D53ED3" w:rsidRDefault="000E6986">
      <w:pPr>
        <w:pStyle w:val="FootnoteText"/>
      </w:pPr>
      <w:r>
        <w:t>Frequency: patients were asked at each visit if they had experienced heartburn (yes) or not (no); 24h, N</w:t>
      </w:r>
      <w:r>
        <w:sym w:font="Symbol" w:char="F03D"/>
      </w:r>
      <w:r>
        <w:t>183; 7d, N</w:t>
      </w:r>
      <w:r>
        <w:sym w:font="Symbol" w:char="F03D"/>
      </w:r>
      <w:r>
        <w:t>181; 6m, N</w:t>
      </w:r>
      <w:r>
        <w:sym w:font="Symbol" w:char="F03D"/>
      </w:r>
      <w:r>
        <w:t>144; 12m, N</w:t>
      </w:r>
      <w:r>
        <w:sym w:font="Symbol" w:char="F03D"/>
      </w:r>
      <w:r>
        <w:t>127</w:t>
      </w:r>
    </w:p>
    <w:p w:rsidR="00D53ED3" w:rsidRDefault="000E6986">
      <w:pPr>
        <w:pStyle w:val="FootnoteText"/>
      </w:pPr>
      <w:r>
        <w:t>Severity: severity at each visit was compared with the previous visit; 24h, N</w:t>
      </w:r>
      <w:r>
        <w:sym w:font="Symbol" w:char="F03D"/>
      </w:r>
      <w:r>
        <w:t>72; 7d, N</w:t>
      </w:r>
      <w:r>
        <w:sym w:font="Symbol" w:char="F03D"/>
      </w:r>
      <w:r>
        <w:t>52; 6m, N</w:t>
      </w:r>
      <w:r>
        <w:sym w:font="Symbol" w:char="F03D"/>
      </w:r>
      <w:r>
        <w:t>45; 12m, N</w:t>
      </w:r>
      <w:r>
        <w:sym w:font="Symbol" w:char="F03D"/>
      </w:r>
      <w:r>
        <w:t>42</w:t>
      </w:r>
    </w:p>
    <w:p w:rsidR="00D53ED3" w:rsidRDefault="000E6986">
      <w:pPr>
        <w:pStyle w:val="FootnoteText"/>
      </w:pPr>
      <w:r>
        <w:t>Duration of symptoms: 24h, N</w:t>
      </w:r>
      <w:r>
        <w:sym w:font="Symbol" w:char="F03D"/>
      </w:r>
      <w:r>
        <w:t>73; 7d, N</w:t>
      </w:r>
      <w:r>
        <w:sym w:font="Symbol" w:char="F03D"/>
      </w:r>
      <w:r>
        <w:t>53</w:t>
      </w:r>
    </w:p>
    <w:p w:rsidR="00D53ED3" w:rsidRDefault="000E6986">
      <w:pPr>
        <w:pStyle w:val="FootnoteText"/>
      </w:pPr>
      <w:r>
        <w:t>Effect on daily activities: 24h, N</w:t>
      </w:r>
      <w:r>
        <w:sym w:font="Symbol" w:char="F03D"/>
      </w:r>
      <w:r>
        <w:t>72; 7d, N</w:t>
      </w:r>
      <w:r>
        <w:sym w:font="Symbol" w:char="F03D"/>
      </w:r>
      <w:r>
        <w:t>53; 6m, N</w:t>
      </w:r>
      <w:r>
        <w:sym w:font="Symbol" w:char="F03D"/>
      </w:r>
      <w:r>
        <w:t>44; 12m, N</w:t>
      </w:r>
      <w:r>
        <w:sym w:font="Symbol" w:char="F03D"/>
      </w:r>
      <w:r>
        <w:t>42</w:t>
      </w:r>
    </w:p>
    <w:p w:rsidR="00D53ED3" w:rsidRDefault="00D53ED3"/>
    <w:sectPr w:rsidR="00D53ED3" w:rsidSect="00D53ED3">
      <w:footerReference w:type="default" r:id="rId2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8DC" w:rsidRDefault="000C08DC">
      <w:r>
        <w:separator/>
      </w:r>
    </w:p>
  </w:endnote>
  <w:endnote w:type="continuationSeparator" w:id="0">
    <w:p w:rsidR="000C08DC" w:rsidRDefault="000C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72" w:rsidRDefault="00A90672">
    <w:pPr>
      <w:pStyle w:val="Footer"/>
    </w:pPr>
    <w:r>
      <w:tab/>
    </w:r>
    <w:r>
      <w:tab/>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B06AD">
      <w:rPr>
        <w:noProof/>
        <w:snapToGrid w:val="0"/>
      </w:rPr>
      <w:t>35</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B06AD">
      <w:rPr>
        <w:noProof/>
        <w:snapToGrid w:val="0"/>
      </w:rPr>
      <w:t>35</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8DC" w:rsidRDefault="000C08DC">
      <w:r>
        <w:separator/>
      </w:r>
    </w:p>
  </w:footnote>
  <w:footnote w:type="continuationSeparator" w:id="0">
    <w:p w:rsidR="000C08DC" w:rsidRDefault="000C0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72" w:rsidRDefault="00A90672" w:rsidP="00DD718A">
    <w:proofErr w:type="spellStart"/>
    <w:r>
      <w:t>Rabeprazole</w:t>
    </w:r>
    <w:proofErr w:type="spellEnd"/>
    <w:r>
      <w:t xml:space="preserve"> post-authorisation study</w:t>
    </w:r>
  </w:p>
  <w:p w:rsidR="00A90672" w:rsidRDefault="00A90672" w:rsidP="00DD718A">
    <w:pPr>
      <w:pStyle w:val="Footer"/>
    </w:pPr>
    <w:r>
      <w:tab/>
    </w:r>
    <w:r>
      <w:tab/>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B06AD">
      <w:rPr>
        <w:noProof/>
        <w:snapToGrid w:val="0"/>
      </w:rPr>
      <w:t>16</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B06AD">
      <w:rPr>
        <w:noProof/>
        <w:snapToGrid w:val="0"/>
      </w:rPr>
      <w:t>35</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6FCF8E8"/>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B61E54B2"/>
    <w:lvl w:ilvl="0">
      <w:start w:val="1"/>
      <w:numFmt w:val="decimal"/>
      <w:pStyle w:val="ListNumber"/>
      <w:lvlText w:val="%1."/>
      <w:lvlJc w:val="left"/>
      <w:pPr>
        <w:tabs>
          <w:tab w:val="num" w:pos="360"/>
        </w:tabs>
        <w:ind w:left="360" w:hanging="360"/>
      </w:pPr>
      <w:rPr>
        <w:rFonts w:cs="Times New Roman"/>
      </w:rPr>
    </w:lvl>
  </w:abstractNum>
  <w:abstractNum w:abstractNumId="2">
    <w:nsid w:val="FFFFFF89"/>
    <w:multiLevelType w:val="singleLevel"/>
    <w:tmpl w:val="06F8CD26"/>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rPr>
        <w:rFonts w:cs="Times New Roman"/>
      </w:rPr>
    </w:lvl>
  </w:abstractNum>
  <w:abstractNum w:abstractNumId="4">
    <w:nsid w:val="02412DC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5">
    <w:nsid w:val="090A0757"/>
    <w:multiLevelType w:val="hybridMultilevel"/>
    <w:tmpl w:val="20C473E4"/>
    <w:lvl w:ilvl="0" w:tplc="7294FCAA">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233033BF"/>
    <w:multiLevelType w:val="hybridMultilevel"/>
    <w:tmpl w:val="BA56F1D8"/>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45D41D5"/>
    <w:multiLevelType w:val="multilevel"/>
    <w:tmpl w:val="92CE79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563061"/>
    <w:multiLevelType w:val="multilevel"/>
    <w:tmpl w:val="B01E0C76"/>
    <w:lvl w:ilvl="0">
      <w:start w:val="1"/>
      <w:numFmt w:val="bullet"/>
      <w:pStyle w:val="List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4EAB2F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543B1F05"/>
    <w:multiLevelType w:val="hybridMultilevel"/>
    <w:tmpl w:val="5A7E27E8"/>
    <w:lvl w:ilvl="0" w:tplc="468CB4FC">
      <w:start w:val="1"/>
      <w:numFmt w:val="decimal"/>
      <w:pStyle w:val="References"/>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8E87E4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2">
    <w:nsid w:val="5E8B398C"/>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2"/>
  </w:num>
  <w:num w:numId="2">
    <w:abstractNumId w:val="0"/>
  </w:num>
  <w:num w:numId="3">
    <w:abstractNumId w:val="1"/>
  </w:num>
  <w:num w:numId="4">
    <w:abstractNumId w:val="4"/>
  </w:num>
  <w:num w:numId="5">
    <w:abstractNumId w:val="12"/>
  </w:num>
  <w:num w:numId="6">
    <w:abstractNumId w:val="10"/>
  </w:num>
  <w:num w:numId="7">
    <w:abstractNumId w:val="2"/>
  </w:num>
  <w:num w:numId="8">
    <w:abstractNumId w:val="0"/>
  </w:num>
  <w:num w:numId="9">
    <w:abstractNumId w:val="8"/>
  </w:num>
  <w:num w:numId="10">
    <w:abstractNumId w:val="5"/>
  </w:num>
  <w:num w:numId="11">
    <w:abstractNumId w:val="6"/>
  </w:num>
  <w:num w:numId="12">
    <w:abstractNumId w:val="9"/>
  </w:num>
  <w:num w:numId="13">
    <w:abstractNumId w:val="3"/>
    <w:lvlOverride w:ilvl="0">
      <w:lvl w:ilvl="0">
        <w:start w:val="1"/>
        <w:numFmt w:val="bullet"/>
        <w:lvlText w:val=""/>
        <w:legacy w:legacy="1" w:legacySpace="0" w:legacyIndent="283"/>
        <w:lvlJc w:val="left"/>
        <w:pPr>
          <w:ind w:left="1701" w:hanging="283"/>
        </w:pPr>
        <w:rPr>
          <w:rFonts w:ascii="Symbol" w:hAnsi="Symbol" w:hint="default"/>
        </w:rPr>
      </w:lvl>
    </w:lvlOverride>
  </w:num>
  <w:num w:numId="14">
    <w:abstractNumId w:val="11"/>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376DB"/>
    <w:rsid w:val="000C08DC"/>
    <w:rsid w:val="000E6986"/>
    <w:rsid w:val="00102C4D"/>
    <w:rsid w:val="001E42C5"/>
    <w:rsid w:val="00317051"/>
    <w:rsid w:val="0073408A"/>
    <w:rsid w:val="007A0764"/>
    <w:rsid w:val="007A2CF3"/>
    <w:rsid w:val="008439B4"/>
    <w:rsid w:val="00867B57"/>
    <w:rsid w:val="009A1958"/>
    <w:rsid w:val="00A90672"/>
    <w:rsid w:val="00AD2D97"/>
    <w:rsid w:val="00B84C8A"/>
    <w:rsid w:val="00BA07D1"/>
    <w:rsid w:val="00CB06AD"/>
    <w:rsid w:val="00D53ED3"/>
    <w:rsid w:val="00DD718A"/>
    <w:rsid w:val="00E01B9C"/>
    <w:rsid w:val="00E376DB"/>
    <w:rsid w:val="00F7126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ED3"/>
    <w:pPr>
      <w:spacing w:after="240" w:line="480" w:lineRule="auto"/>
    </w:pPr>
    <w:rPr>
      <w:sz w:val="24"/>
      <w:lang w:val="en-GB" w:eastAsia="en-US"/>
    </w:rPr>
  </w:style>
  <w:style w:type="paragraph" w:styleId="Heading1">
    <w:name w:val="heading 1"/>
    <w:basedOn w:val="Normal"/>
    <w:next w:val="Normal"/>
    <w:qFormat/>
    <w:rsid w:val="00D53ED3"/>
    <w:pPr>
      <w:keepNext/>
      <w:spacing w:before="240" w:after="60"/>
      <w:outlineLvl w:val="0"/>
    </w:pPr>
    <w:rPr>
      <w:rFonts w:ascii="Arial" w:hAnsi="Arial"/>
      <w:b/>
      <w:kern w:val="28"/>
      <w:sz w:val="28"/>
    </w:rPr>
  </w:style>
  <w:style w:type="paragraph" w:styleId="Heading2">
    <w:name w:val="heading 2"/>
    <w:basedOn w:val="Normal"/>
    <w:next w:val="Normal"/>
    <w:qFormat/>
    <w:rsid w:val="00D53ED3"/>
    <w:pPr>
      <w:keepNext/>
      <w:pageBreakBefore/>
      <w:spacing w:before="240" w:after="60"/>
      <w:outlineLvl w:val="1"/>
    </w:pPr>
    <w:rPr>
      <w:rFonts w:ascii="Arial" w:hAnsi="Arial"/>
      <w:b/>
      <w:i/>
    </w:rPr>
  </w:style>
  <w:style w:type="paragraph" w:styleId="Heading3">
    <w:name w:val="heading 3"/>
    <w:basedOn w:val="Normal"/>
    <w:next w:val="Normal"/>
    <w:qFormat/>
    <w:rsid w:val="00D53ED3"/>
    <w:pPr>
      <w:keepNext/>
      <w:spacing w:before="240" w:after="60"/>
      <w:outlineLvl w:val="2"/>
    </w:pPr>
    <w:rPr>
      <w:b/>
      <w:i/>
    </w:rPr>
  </w:style>
  <w:style w:type="paragraph" w:styleId="Heading4">
    <w:name w:val="heading 4"/>
    <w:basedOn w:val="Normal"/>
    <w:next w:val="Normal"/>
    <w:qFormat/>
    <w:rsid w:val="00D53ED3"/>
    <w:pPr>
      <w:keepNext/>
      <w:spacing w:before="240" w:after="60"/>
      <w:outlineLvl w:val="3"/>
    </w:pPr>
    <w:rPr>
      <w:bCs/>
      <w:szCs w:val="28"/>
      <w:u w:val="single"/>
    </w:rPr>
  </w:style>
  <w:style w:type="paragraph" w:styleId="Heading5">
    <w:name w:val="heading 5"/>
    <w:basedOn w:val="Normal"/>
    <w:next w:val="Normal"/>
    <w:qFormat/>
    <w:rsid w:val="00D53ED3"/>
    <w:pPr>
      <w:keepNext/>
      <w:outlineLvl w:val="4"/>
    </w:pPr>
    <w:rPr>
      <w:i/>
      <w:iCs/>
      <w:lang w:val="en-US"/>
    </w:rPr>
  </w:style>
  <w:style w:type="paragraph" w:styleId="Heading6">
    <w:name w:val="heading 6"/>
    <w:basedOn w:val="Normal"/>
    <w:next w:val="Normal"/>
    <w:qFormat/>
    <w:rsid w:val="00D53ED3"/>
    <w:pPr>
      <w:keepNext/>
      <w:spacing w:line="240" w:lineRule="auto"/>
      <w:outlineLvl w:val="5"/>
    </w:pPr>
    <w:rPr>
      <w:b/>
      <w:bCs/>
      <w:sz w:val="22"/>
    </w:rPr>
  </w:style>
  <w:style w:type="paragraph" w:styleId="Heading7">
    <w:name w:val="heading 7"/>
    <w:basedOn w:val="Normal"/>
    <w:next w:val="Normal"/>
    <w:qFormat/>
    <w:rsid w:val="00D53ED3"/>
    <w:pPr>
      <w:keepNext/>
      <w:ind w:left="284"/>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D53ED3"/>
    <w:rPr>
      <w:rFonts w:ascii="Cambria" w:eastAsia="Times New Roman" w:hAnsi="Cambria" w:cs="Times New Roman"/>
      <w:b/>
      <w:bCs/>
      <w:kern w:val="32"/>
      <w:sz w:val="32"/>
      <w:szCs w:val="32"/>
      <w:lang w:val="en-GB"/>
    </w:rPr>
  </w:style>
  <w:style w:type="character" w:customStyle="1" w:styleId="Heading2Char">
    <w:name w:val="Heading 2 Char"/>
    <w:basedOn w:val="DefaultParagraphFont"/>
    <w:semiHidden/>
    <w:rsid w:val="00D53ED3"/>
    <w:rPr>
      <w:rFonts w:ascii="Cambria" w:eastAsia="Times New Roman" w:hAnsi="Cambria" w:cs="Times New Roman"/>
      <w:b/>
      <w:bCs/>
      <w:i/>
      <w:iCs/>
      <w:sz w:val="28"/>
      <w:szCs w:val="28"/>
      <w:lang w:val="en-GB"/>
    </w:rPr>
  </w:style>
  <w:style w:type="character" w:customStyle="1" w:styleId="Heading3Char">
    <w:name w:val="Heading 3 Char"/>
    <w:basedOn w:val="DefaultParagraphFont"/>
    <w:semiHidden/>
    <w:rsid w:val="00D53ED3"/>
    <w:rPr>
      <w:rFonts w:ascii="Cambria" w:eastAsia="Times New Roman" w:hAnsi="Cambria" w:cs="Times New Roman"/>
      <w:b/>
      <w:bCs/>
      <w:sz w:val="26"/>
      <w:szCs w:val="26"/>
      <w:lang w:val="en-GB"/>
    </w:rPr>
  </w:style>
  <w:style w:type="character" w:customStyle="1" w:styleId="Heading4Char">
    <w:name w:val="Heading 4 Char"/>
    <w:basedOn w:val="DefaultParagraphFont"/>
    <w:semiHidden/>
    <w:rsid w:val="00D53ED3"/>
    <w:rPr>
      <w:rFonts w:ascii="Calibri" w:eastAsia="Times New Roman" w:hAnsi="Calibri" w:cs="Times New Roman"/>
      <w:b/>
      <w:bCs/>
      <w:sz w:val="28"/>
      <w:szCs w:val="28"/>
      <w:lang w:val="en-GB"/>
    </w:rPr>
  </w:style>
  <w:style w:type="character" w:customStyle="1" w:styleId="Heading5Char">
    <w:name w:val="Heading 5 Char"/>
    <w:basedOn w:val="DefaultParagraphFont"/>
    <w:semiHidden/>
    <w:rsid w:val="00D53ED3"/>
    <w:rPr>
      <w:rFonts w:ascii="Calibri" w:eastAsia="Times New Roman" w:hAnsi="Calibri" w:cs="Times New Roman"/>
      <w:b/>
      <w:bCs/>
      <w:i/>
      <w:iCs/>
      <w:sz w:val="26"/>
      <w:szCs w:val="26"/>
      <w:lang w:val="en-GB"/>
    </w:rPr>
  </w:style>
  <w:style w:type="character" w:customStyle="1" w:styleId="Heading6Char">
    <w:name w:val="Heading 6 Char"/>
    <w:basedOn w:val="DefaultParagraphFont"/>
    <w:semiHidden/>
    <w:rsid w:val="00D53ED3"/>
    <w:rPr>
      <w:rFonts w:ascii="Calibri" w:eastAsia="Times New Roman" w:hAnsi="Calibri" w:cs="Times New Roman"/>
      <w:b/>
      <w:bCs/>
      <w:sz w:val="22"/>
      <w:szCs w:val="22"/>
      <w:lang w:val="en-GB"/>
    </w:rPr>
  </w:style>
  <w:style w:type="character" w:customStyle="1" w:styleId="Heading7Char">
    <w:name w:val="Heading 7 Char"/>
    <w:basedOn w:val="DefaultParagraphFont"/>
    <w:semiHidden/>
    <w:rsid w:val="00D53ED3"/>
    <w:rPr>
      <w:rFonts w:ascii="Calibri" w:eastAsia="Times New Roman" w:hAnsi="Calibri" w:cs="Times New Roman"/>
      <w:sz w:val="24"/>
      <w:szCs w:val="24"/>
      <w:lang w:val="en-GB"/>
    </w:rPr>
  </w:style>
  <w:style w:type="character" w:styleId="CommentReference">
    <w:name w:val="annotation reference"/>
    <w:basedOn w:val="DefaultParagraphFont"/>
    <w:semiHidden/>
    <w:rsid w:val="00D53ED3"/>
    <w:rPr>
      <w:rFonts w:cs="Times New Roman"/>
      <w:sz w:val="16"/>
    </w:rPr>
  </w:style>
  <w:style w:type="paragraph" w:styleId="CommentText">
    <w:name w:val="annotation text"/>
    <w:basedOn w:val="Normal"/>
    <w:semiHidden/>
    <w:rsid w:val="00D53ED3"/>
    <w:rPr>
      <w:sz w:val="20"/>
    </w:rPr>
  </w:style>
  <w:style w:type="character" w:customStyle="1" w:styleId="CommentTextChar">
    <w:name w:val="Comment Text Char"/>
    <w:basedOn w:val="DefaultParagraphFont"/>
    <w:semiHidden/>
    <w:rsid w:val="00D53ED3"/>
    <w:rPr>
      <w:rFonts w:cs="Times New Roman"/>
      <w:lang w:val="en-GB"/>
    </w:rPr>
  </w:style>
  <w:style w:type="paragraph" w:customStyle="1" w:styleId="Table">
    <w:name w:val="Table"/>
    <w:basedOn w:val="Normal"/>
    <w:rsid w:val="00D53ED3"/>
    <w:pPr>
      <w:keepNext/>
      <w:spacing w:before="60" w:after="0"/>
    </w:pPr>
  </w:style>
  <w:style w:type="paragraph" w:styleId="Caption">
    <w:name w:val="caption"/>
    <w:basedOn w:val="Normal"/>
    <w:next w:val="Normal"/>
    <w:qFormat/>
    <w:rsid w:val="00D53ED3"/>
    <w:pPr>
      <w:keepNext/>
      <w:spacing w:before="120" w:after="120"/>
    </w:pPr>
    <w:rPr>
      <w:b/>
      <w:i/>
    </w:rPr>
  </w:style>
  <w:style w:type="paragraph" w:styleId="Header">
    <w:name w:val="header"/>
    <w:basedOn w:val="Normal"/>
    <w:semiHidden/>
    <w:rsid w:val="00D53ED3"/>
    <w:pPr>
      <w:tabs>
        <w:tab w:val="center" w:pos="4153"/>
        <w:tab w:val="right" w:pos="8306"/>
      </w:tabs>
    </w:pPr>
  </w:style>
  <w:style w:type="character" w:customStyle="1" w:styleId="HeaderChar">
    <w:name w:val="Header Char"/>
    <w:basedOn w:val="DefaultParagraphFont"/>
    <w:semiHidden/>
    <w:rsid w:val="00D53ED3"/>
    <w:rPr>
      <w:sz w:val="24"/>
      <w:lang w:val="en-GB"/>
    </w:rPr>
  </w:style>
  <w:style w:type="paragraph" w:styleId="Footer">
    <w:name w:val="footer"/>
    <w:basedOn w:val="Normal"/>
    <w:semiHidden/>
    <w:rsid w:val="00D53ED3"/>
    <w:pPr>
      <w:pBdr>
        <w:top w:val="single" w:sz="4" w:space="3" w:color="auto"/>
      </w:pBdr>
      <w:tabs>
        <w:tab w:val="center" w:pos="5387"/>
        <w:tab w:val="right" w:pos="8306"/>
      </w:tabs>
      <w:spacing w:after="0"/>
    </w:pPr>
    <w:rPr>
      <w:sz w:val="20"/>
    </w:rPr>
  </w:style>
  <w:style w:type="character" w:customStyle="1" w:styleId="FooterChar">
    <w:name w:val="Footer Char"/>
    <w:basedOn w:val="DefaultParagraphFont"/>
    <w:semiHidden/>
    <w:rsid w:val="00D53ED3"/>
    <w:rPr>
      <w:sz w:val="24"/>
      <w:lang w:val="en-GB"/>
    </w:rPr>
  </w:style>
  <w:style w:type="paragraph" w:customStyle="1" w:styleId="References">
    <w:name w:val="References"/>
    <w:basedOn w:val="Normal"/>
    <w:rsid w:val="00D53ED3"/>
    <w:pPr>
      <w:numPr>
        <w:numId w:val="6"/>
      </w:numPr>
    </w:pPr>
  </w:style>
  <w:style w:type="paragraph" w:customStyle="1" w:styleId="TableFootnote">
    <w:name w:val="Table Footnote"/>
    <w:basedOn w:val="Normal"/>
    <w:rsid w:val="00D53ED3"/>
    <w:pPr>
      <w:spacing w:after="360"/>
    </w:pPr>
    <w:rPr>
      <w:sz w:val="18"/>
    </w:rPr>
  </w:style>
  <w:style w:type="paragraph" w:styleId="BodyText">
    <w:name w:val="Body Text"/>
    <w:basedOn w:val="Normal"/>
    <w:semiHidden/>
    <w:rsid w:val="00D53ED3"/>
    <w:rPr>
      <w:color w:val="FF0000"/>
    </w:rPr>
  </w:style>
  <w:style w:type="character" w:customStyle="1" w:styleId="BodyTextChar">
    <w:name w:val="Body Text Char"/>
    <w:basedOn w:val="DefaultParagraphFont"/>
    <w:semiHidden/>
    <w:rsid w:val="00D53ED3"/>
    <w:rPr>
      <w:sz w:val="24"/>
      <w:lang w:val="en-GB"/>
    </w:rPr>
  </w:style>
  <w:style w:type="paragraph" w:styleId="ListBullet">
    <w:name w:val="List Bullet"/>
    <w:basedOn w:val="Normal"/>
    <w:semiHidden/>
    <w:rsid w:val="00D53ED3"/>
    <w:pPr>
      <w:numPr>
        <w:numId w:val="9"/>
      </w:numPr>
      <w:spacing w:line="240" w:lineRule="auto"/>
    </w:pPr>
  </w:style>
  <w:style w:type="character" w:styleId="Emphasis">
    <w:name w:val="Emphasis"/>
    <w:basedOn w:val="DefaultParagraphFont"/>
    <w:qFormat/>
    <w:rsid w:val="00D53ED3"/>
    <w:rPr>
      <w:rFonts w:cs="Times New Roman"/>
      <w:i/>
      <w:iCs/>
    </w:rPr>
  </w:style>
  <w:style w:type="paragraph" w:styleId="ListBullet2">
    <w:name w:val="List Bullet 2"/>
    <w:basedOn w:val="Normal"/>
    <w:autoRedefine/>
    <w:semiHidden/>
    <w:rsid w:val="00D53ED3"/>
    <w:pPr>
      <w:spacing w:line="240" w:lineRule="auto"/>
      <w:ind w:left="283"/>
    </w:pPr>
  </w:style>
  <w:style w:type="character" w:styleId="Hyperlink">
    <w:name w:val="Hyperlink"/>
    <w:basedOn w:val="DefaultParagraphFont"/>
    <w:semiHidden/>
    <w:rsid w:val="00D53ED3"/>
    <w:rPr>
      <w:rFonts w:cs="Times New Roman"/>
      <w:color w:val="0000FF"/>
      <w:u w:val="single"/>
    </w:rPr>
  </w:style>
  <w:style w:type="character" w:customStyle="1" w:styleId="BalloonTextChar">
    <w:name w:val="Balloon Text Char"/>
    <w:basedOn w:val="DefaultParagraphFont"/>
    <w:semiHidden/>
    <w:rsid w:val="00D53ED3"/>
    <w:rPr>
      <w:rFonts w:ascii="Tahoma" w:hAnsi="Tahoma" w:cs="Tahoma"/>
      <w:sz w:val="16"/>
      <w:szCs w:val="16"/>
      <w:lang w:val="en-GB" w:eastAsia="en-US"/>
    </w:rPr>
  </w:style>
  <w:style w:type="paragraph" w:styleId="FootnoteText">
    <w:name w:val="footnote text"/>
    <w:basedOn w:val="Normal"/>
    <w:semiHidden/>
    <w:rsid w:val="00D53ED3"/>
    <w:pPr>
      <w:spacing w:line="240" w:lineRule="auto"/>
    </w:pPr>
    <w:rPr>
      <w:sz w:val="20"/>
    </w:rPr>
  </w:style>
  <w:style w:type="character" w:customStyle="1" w:styleId="FootnoteTextChar">
    <w:name w:val="Footnote Text Char"/>
    <w:basedOn w:val="DefaultParagraphFont"/>
    <w:semiHidden/>
    <w:rsid w:val="00D53ED3"/>
    <w:rPr>
      <w:lang w:val="en-GB"/>
    </w:rPr>
  </w:style>
  <w:style w:type="paragraph" w:styleId="BodyText2">
    <w:name w:val="Body Text 2"/>
    <w:basedOn w:val="Normal"/>
    <w:semiHidden/>
    <w:rsid w:val="00D53ED3"/>
    <w:pPr>
      <w:spacing w:line="240" w:lineRule="auto"/>
      <w:jc w:val="center"/>
    </w:pPr>
    <w:rPr>
      <w:sz w:val="16"/>
      <w:szCs w:val="22"/>
    </w:rPr>
  </w:style>
  <w:style w:type="character" w:customStyle="1" w:styleId="BodyText2Char">
    <w:name w:val="Body Text 2 Char"/>
    <w:basedOn w:val="DefaultParagraphFont"/>
    <w:semiHidden/>
    <w:rsid w:val="00D53ED3"/>
    <w:rPr>
      <w:sz w:val="24"/>
      <w:lang w:val="en-GB"/>
    </w:rPr>
  </w:style>
  <w:style w:type="character" w:styleId="FollowedHyperlink">
    <w:name w:val="FollowedHyperlink"/>
    <w:basedOn w:val="DefaultParagraphFont"/>
    <w:semiHidden/>
    <w:rsid w:val="00D53ED3"/>
    <w:rPr>
      <w:rFonts w:cs="Times New Roman"/>
      <w:color w:val="800080"/>
      <w:u w:val="single"/>
    </w:rPr>
  </w:style>
  <w:style w:type="paragraph" w:customStyle="1" w:styleId="Sprechblasentext1">
    <w:name w:val="Sprechblasentext1"/>
    <w:basedOn w:val="Normal"/>
    <w:semiHidden/>
    <w:unhideWhenUsed/>
    <w:rsid w:val="00D53ED3"/>
    <w:pPr>
      <w:spacing w:after="0" w:line="240" w:lineRule="auto"/>
    </w:pPr>
    <w:rPr>
      <w:rFonts w:ascii="Tahoma" w:hAnsi="Tahoma" w:cs="Tahoma"/>
      <w:sz w:val="16"/>
      <w:szCs w:val="16"/>
    </w:rPr>
  </w:style>
  <w:style w:type="character" w:customStyle="1" w:styleId="BalloonTextChar1">
    <w:name w:val="Balloon Text Char1"/>
    <w:basedOn w:val="DefaultParagraphFont"/>
    <w:semiHidden/>
    <w:rsid w:val="00D53ED3"/>
    <w:rPr>
      <w:rFonts w:ascii="Tahoma" w:hAnsi="Tahoma" w:cs="Tahoma"/>
      <w:sz w:val="16"/>
      <w:szCs w:val="16"/>
      <w:lang w:val="en-GB"/>
    </w:rPr>
  </w:style>
  <w:style w:type="paragraph" w:customStyle="1" w:styleId="CommentSubject1">
    <w:name w:val="Comment Subject1"/>
    <w:basedOn w:val="CommentText"/>
    <w:next w:val="CommentText"/>
    <w:semiHidden/>
    <w:unhideWhenUsed/>
    <w:rsid w:val="00D53ED3"/>
    <w:rPr>
      <w:b/>
      <w:bCs/>
    </w:rPr>
  </w:style>
  <w:style w:type="character" w:customStyle="1" w:styleId="CommentSubjectChar">
    <w:name w:val="Comment Subject Char"/>
    <w:basedOn w:val="CommentTextChar"/>
    <w:rsid w:val="00D53ED3"/>
    <w:rPr>
      <w:rFonts w:cs="Times New Roman"/>
      <w:lang w:val="en-GB"/>
    </w:rPr>
  </w:style>
  <w:style w:type="paragraph" w:styleId="ListNumber">
    <w:name w:val="List Number"/>
    <w:basedOn w:val="Normal"/>
    <w:semiHidden/>
    <w:rsid w:val="00D53ED3"/>
    <w:pPr>
      <w:numPr>
        <w:numId w:val="16"/>
      </w:numPr>
    </w:pPr>
  </w:style>
  <w:style w:type="paragraph" w:customStyle="1" w:styleId="berarbeitung1">
    <w:name w:val="Überarbeitung1"/>
    <w:hidden/>
    <w:semiHidden/>
    <w:rsid w:val="00D53ED3"/>
    <w:rPr>
      <w:sz w:val="24"/>
      <w:lang w:val="en-GB" w:eastAsia="en-US"/>
    </w:rPr>
  </w:style>
  <w:style w:type="paragraph" w:styleId="BalloonText">
    <w:name w:val="Balloon Text"/>
    <w:basedOn w:val="Normal"/>
    <w:link w:val="BalloonTextChar2"/>
    <w:uiPriority w:val="99"/>
    <w:semiHidden/>
    <w:unhideWhenUsed/>
    <w:rsid w:val="007A0764"/>
    <w:pPr>
      <w:spacing w:after="0" w:line="240" w:lineRule="auto"/>
    </w:pPr>
    <w:rPr>
      <w:rFonts w:ascii="Tahoma" w:hAnsi="Tahoma" w:cs="Tahoma"/>
      <w:sz w:val="16"/>
      <w:szCs w:val="16"/>
    </w:rPr>
  </w:style>
  <w:style w:type="character" w:customStyle="1" w:styleId="BalloonTextChar2">
    <w:name w:val="Balloon Text Char2"/>
    <w:basedOn w:val="DefaultParagraphFont"/>
    <w:link w:val="BalloonText"/>
    <w:uiPriority w:val="99"/>
    <w:semiHidden/>
    <w:rsid w:val="007A0764"/>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ines.ie/medicine/2103/SPC/Pariet/" TargetMode="Externa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3.emf"/><Relationship Id="rId10" Type="http://schemas.openxmlformats.org/officeDocument/2006/relationships/oleObject" Target="embeddings/Microsoft_Word_97_-_2003_Document1.doc"/><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image" Target="media/image12.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4537</Words>
  <Characters>25862</Characters>
  <Application>Microsoft Office Word</Application>
  <DocSecurity>0</DocSecurity>
  <Lines>215</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Manuscript from Dianthus Medical</vt:lpstr>
      <vt:lpstr>Manuscript from Dianthus Medical</vt:lpstr>
    </vt:vector>
  </TitlesOfParts>
  <Company>Dianthus Medical</Company>
  <LinksUpToDate>false</LinksUpToDate>
  <CharactersWithSpaces>30339</CharactersWithSpaces>
  <SharedDoc>false</SharedDoc>
  <HLinks>
    <vt:vector size="6" baseType="variant">
      <vt:variant>
        <vt:i4>1310789</vt:i4>
      </vt:variant>
      <vt:variant>
        <vt:i4>60</vt:i4>
      </vt:variant>
      <vt:variant>
        <vt:i4>0</vt:i4>
      </vt:variant>
      <vt:variant>
        <vt:i4>5</vt:i4>
      </vt:variant>
      <vt:variant>
        <vt:lpwstr>http://www.medicines.ie/medicine/2103/SPC/Pariet/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from Dianthus Medical</dc:title>
  <dc:creator>Melanie</dc:creator>
  <cp:lastModifiedBy>Papadokostopoulou, Alexandra [JACGR Non J&amp;J]</cp:lastModifiedBy>
  <cp:revision>6</cp:revision>
  <cp:lastPrinted>2011-03-07T10:38:00Z</cp:lastPrinted>
  <dcterms:created xsi:type="dcterms:W3CDTF">2013-04-10T13:26:00Z</dcterms:created>
  <dcterms:modified xsi:type="dcterms:W3CDTF">2013-10-24T09:28:00Z</dcterms:modified>
</cp:coreProperties>
</file>